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51" w:rsidRDefault="00563551" w:rsidP="00463D5C">
      <w:pPr>
        <w:keepNext/>
        <w:jc w:val="right"/>
        <w:rPr>
          <w:rFonts w:ascii="Arial" w:hAnsi="Arial" w:cs="Arial"/>
          <w:sz w:val="24"/>
          <w:szCs w:val="24"/>
        </w:rPr>
      </w:pPr>
    </w:p>
    <w:p w:rsidR="00463D5C" w:rsidRDefault="00463D5C" w:rsidP="00463D5C">
      <w:pPr>
        <w:keepNext/>
        <w:jc w:val="right"/>
        <w:rPr>
          <w:rFonts w:ascii="Arial" w:hAnsi="Arial" w:cs="Arial"/>
          <w:sz w:val="24"/>
          <w:szCs w:val="24"/>
        </w:rPr>
      </w:pPr>
      <w:r>
        <w:rPr>
          <w:rFonts w:ascii="Arial" w:hAnsi="Arial" w:cs="Arial"/>
          <w:noProof/>
          <w:sz w:val="24"/>
          <w:szCs w:val="24"/>
          <w:lang w:eastAsia="en-GB"/>
        </w:rPr>
        <w:drawing>
          <wp:inline distT="0" distB="0" distL="0" distR="0" wp14:anchorId="49F30741" wp14:editId="0B6A17D1">
            <wp:extent cx="1000125" cy="866775"/>
            <wp:effectExtent l="0" t="0" r="9525" b="9525"/>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rsidR="00463D5C" w:rsidRDefault="00463D5C" w:rsidP="00463D5C">
      <w:pPr>
        <w:pStyle w:val="Heading1"/>
        <w:jc w:val="right"/>
        <w:rPr>
          <w:rFonts w:ascii="Arial" w:hAnsi="Arial" w:cs="Arial"/>
          <w:b/>
          <w:color w:val="auto"/>
          <w:sz w:val="24"/>
          <w:szCs w:val="24"/>
        </w:rPr>
      </w:pPr>
      <w:r>
        <w:rPr>
          <w:rFonts w:ascii="Arial" w:hAnsi="Arial" w:cs="Arial"/>
          <w:b/>
          <w:color w:val="auto"/>
          <w:sz w:val="24"/>
          <w:szCs w:val="24"/>
        </w:rPr>
        <w:t>HS</w:t>
      </w:r>
      <w:r w:rsidR="006D5F88">
        <w:rPr>
          <w:rFonts w:ascii="Arial" w:hAnsi="Arial" w:cs="Arial"/>
          <w:b/>
          <w:color w:val="auto"/>
          <w:sz w:val="24"/>
          <w:szCs w:val="24"/>
        </w:rPr>
        <w:t xml:space="preserve"> </w:t>
      </w:r>
      <w:r>
        <w:rPr>
          <w:rFonts w:ascii="Arial" w:hAnsi="Arial" w:cs="Arial"/>
          <w:b/>
          <w:color w:val="auto"/>
          <w:sz w:val="24"/>
          <w:szCs w:val="24"/>
        </w:rPr>
        <w:t>Paper</w:t>
      </w:r>
      <w:r w:rsidR="006D5F88">
        <w:rPr>
          <w:rFonts w:ascii="Arial" w:hAnsi="Arial" w:cs="Arial"/>
          <w:b/>
          <w:color w:val="auto"/>
          <w:sz w:val="24"/>
          <w:szCs w:val="24"/>
        </w:rPr>
        <w:t xml:space="preserve"> </w:t>
      </w:r>
      <w:r w:rsidR="000A2015">
        <w:rPr>
          <w:rFonts w:ascii="Arial" w:hAnsi="Arial" w:cs="Arial"/>
          <w:b/>
          <w:color w:val="auto"/>
          <w:sz w:val="24"/>
          <w:szCs w:val="24"/>
        </w:rPr>
        <w:t>43</w:t>
      </w:r>
      <w:r w:rsidR="006D5F88">
        <w:rPr>
          <w:rFonts w:ascii="Arial" w:hAnsi="Arial" w:cs="Arial"/>
          <w:b/>
          <w:color w:val="auto"/>
          <w:sz w:val="24"/>
          <w:szCs w:val="24"/>
        </w:rPr>
        <w:t>/19</w:t>
      </w:r>
      <w:r>
        <w:rPr>
          <w:rFonts w:ascii="Arial" w:hAnsi="Arial" w:cs="Arial"/>
          <w:b/>
          <w:color w:val="auto"/>
          <w:sz w:val="24"/>
          <w:szCs w:val="24"/>
        </w:rPr>
        <w:t xml:space="preserve"> </w:t>
      </w:r>
    </w:p>
    <w:p w:rsidR="00463D5C" w:rsidRDefault="00463D5C" w:rsidP="00463D5C">
      <w:pPr>
        <w:pStyle w:val="Heading1"/>
        <w:rPr>
          <w:rFonts w:ascii="Arial" w:hAnsi="Arial" w:cs="Arial"/>
          <w:b/>
          <w:color w:val="auto"/>
          <w:sz w:val="28"/>
          <w:szCs w:val="28"/>
        </w:rPr>
      </w:pPr>
    </w:p>
    <w:p w:rsidR="00463D5C" w:rsidRPr="006D5F88" w:rsidRDefault="00463D5C" w:rsidP="00463D5C">
      <w:pPr>
        <w:pStyle w:val="Heading1"/>
        <w:rPr>
          <w:rFonts w:ascii="Arial" w:hAnsi="Arial" w:cs="Arial"/>
          <w:b/>
          <w:color w:val="auto"/>
          <w:sz w:val="28"/>
          <w:szCs w:val="28"/>
        </w:rPr>
      </w:pPr>
      <w:r w:rsidRPr="006D5F88">
        <w:rPr>
          <w:rFonts w:ascii="Arial" w:hAnsi="Arial" w:cs="Arial"/>
          <w:b/>
          <w:color w:val="auto"/>
          <w:sz w:val="28"/>
          <w:szCs w:val="28"/>
        </w:rPr>
        <w:t>B</w:t>
      </w:r>
      <w:r w:rsidR="00D166BB" w:rsidRPr="006D5F88">
        <w:rPr>
          <w:rFonts w:ascii="Arial" w:hAnsi="Arial" w:cs="Arial"/>
          <w:b/>
          <w:color w:val="auto"/>
          <w:sz w:val="28"/>
          <w:szCs w:val="28"/>
        </w:rPr>
        <w:t>oard Meeting</w:t>
      </w:r>
      <w:r w:rsidRPr="006D5F88">
        <w:rPr>
          <w:rFonts w:ascii="Arial" w:hAnsi="Arial" w:cs="Arial"/>
          <w:b/>
          <w:color w:val="auto"/>
          <w:sz w:val="28"/>
          <w:szCs w:val="28"/>
        </w:rPr>
        <w:t xml:space="preserve">: </w:t>
      </w:r>
      <w:r w:rsidR="000B12C7">
        <w:rPr>
          <w:rFonts w:ascii="Arial" w:hAnsi="Arial" w:cs="Arial"/>
          <w:b/>
          <w:color w:val="auto"/>
          <w:sz w:val="28"/>
          <w:szCs w:val="28"/>
        </w:rPr>
        <w:t>27 September</w:t>
      </w:r>
      <w:r w:rsidR="00C4626A" w:rsidRPr="006D5F88">
        <w:rPr>
          <w:rFonts w:ascii="Arial" w:hAnsi="Arial" w:cs="Arial"/>
          <w:b/>
          <w:color w:val="auto"/>
          <w:sz w:val="28"/>
          <w:szCs w:val="28"/>
        </w:rPr>
        <w:t xml:space="preserve"> 2019</w:t>
      </w:r>
    </w:p>
    <w:p w:rsidR="00463D5C" w:rsidRDefault="00463D5C" w:rsidP="00463D5C">
      <w:pPr>
        <w:rPr>
          <w:rFonts w:ascii="Arial" w:hAnsi="Arial" w:cs="Arial"/>
          <w:sz w:val="24"/>
          <w:szCs w:val="24"/>
        </w:rPr>
      </w:pPr>
    </w:p>
    <w:p w:rsidR="00463D5C" w:rsidRDefault="00463D5C" w:rsidP="00463D5C">
      <w:pPr>
        <w:rPr>
          <w:rFonts w:ascii="Arial" w:hAnsi="Arial" w:cs="Arial"/>
          <w:sz w:val="24"/>
          <w:szCs w:val="24"/>
        </w:rPr>
      </w:pPr>
    </w:p>
    <w:p w:rsidR="00C31AC8" w:rsidRDefault="00C31AC8" w:rsidP="00C31AC8">
      <w:pPr>
        <w:rPr>
          <w:rFonts w:asciiTheme="minorHAnsi" w:hAnsiTheme="minorHAnsi" w:cstheme="minorBidi"/>
        </w:rPr>
      </w:pPr>
      <w:r>
        <w:rPr>
          <w:rFonts w:ascii="Arial" w:hAnsi="Arial" w:cs="Arial"/>
          <w:b/>
          <w:bCs/>
          <w:sz w:val="24"/>
          <w:szCs w:val="24"/>
        </w:rPr>
        <w:t xml:space="preserve">We are working towards all our publications being available in an accessible format.  In the meantime if you require this paper in a more accessible format, please contact us using this email address </w:t>
      </w:r>
      <w:hyperlink r:id="rId9" w:history="1">
        <w:r>
          <w:rPr>
            <w:rStyle w:val="Hyperlink"/>
            <w:rFonts w:ascii="Arial" w:hAnsi="Arial" w:cs="Arial"/>
            <w:b/>
            <w:bCs/>
            <w:sz w:val="24"/>
            <w:szCs w:val="24"/>
          </w:rPr>
          <w:t>nhs.healthscotland-ceopapersubmission@nhs.net</w:t>
        </w:r>
      </w:hyperlink>
    </w:p>
    <w:p w:rsidR="00463D5C" w:rsidRDefault="00463D5C" w:rsidP="00463D5C">
      <w:pPr>
        <w:rPr>
          <w:rFonts w:ascii="Arial" w:hAnsi="Arial" w:cs="Arial"/>
          <w:b/>
          <w:sz w:val="24"/>
          <w:szCs w:val="24"/>
        </w:rPr>
      </w:pPr>
    </w:p>
    <w:p w:rsidR="00463D5C" w:rsidRDefault="00463D5C" w:rsidP="00463D5C">
      <w:pPr>
        <w:rPr>
          <w:rFonts w:ascii="Arial" w:hAnsi="Arial" w:cs="Arial"/>
          <w:b/>
          <w:sz w:val="24"/>
          <w:szCs w:val="24"/>
        </w:rPr>
      </w:pPr>
    </w:p>
    <w:p w:rsidR="00463D5C" w:rsidRDefault="00463D5C" w:rsidP="00463D5C">
      <w:pPr>
        <w:rPr>
          <w:rFonts w:ascii="Arial" w:hAnsi="Arial" w:cs="Arial"/>
          <w:b/>
          <w:sz w:val="24"/>
          <w:szCs w:val="24"/>
        </w:rPr>
      </w:pPr>
      <w:r>
        <w:rPr>
          <w:rFonts w:ascii="Arial" w:hAnsi="Arial" w:cs="Arial"/>
          <w:b/>
          <w:sz w:val="24"/>
          <w:szCs w:val="24"/>
        </w:rPr>
        <w:t>C</w:t>
      </w:r>
      <w:r w:rsidR="00D166BB">
        <w:rPr>
          <w:rFonts w:ascii="Arial" w:hAnsi="Arial" w:cs="Arial"/>
          <w:b/>
          <w:sz w:val="24"/>
          <w:szCs w:val="24"/>
        </w:rPr>
        <w:t>hief</w:t>
      </w:r>
      <w:r>
        <w:rPr>
          <w:rFonts w:ascii="Arial" w:hAnsi="Arial" w:cs="Arial"/>
          <w:b/>
          <w:sz w:val="24"/>
          <w:szCs w:val="24"/>
        </w:rPr>
        <w:t xml:space="preserve"> E</w:t>
      </w:r>
      <w:r w:rsidR="00D166BB">
        <w:rPr>
          <w:rFonts w:ascii="Arial" w:hAnsi="Arial" w:cs="Arial"/>
          <w:b/>
          <w:sz w:val="24"/>
          <w:szCs w:val="24"/>
        </w:rPr>
        <w:t xml:space="preserve">xecutive’s </w:t>
      </w:r>
      <w:r w:rsidR="00C17C75">
        <w:rPr>
          <w:rFonts w:ascii="Arial" w:hAnsi="Arial" w:cs="Arial"/>
          <w:b/>
          <w:sz w:val="24"/>
          <w:szCs w:val="24"/>
        </w:rPr>
        <w:t>Report</w:t>
      </w:r>
    </w:p>
    <w:p w:rsidR="00463D5C" w:rsidRDefault="00463D5C" w:rsidP="00463D5C">
      <w:pPr>
        <w:rPr>
          <w:rFonts w:ascii="Arial" w:hAnsi="Arial" w:cs="Arial"/>
          <w:sz w:val="24"/>
          <w:szCs w:val="24"/>
        </w:rPr>
      </w:pPr>
    </w:p>
    <w:p w:rsidR="00662A9F" w:rsidRDefault="00662A9F" w:rsidP="00463D5C">
      <w:pPr>
        <w:keepNext/>
        <w:outlineLvl w:val="2"/>
        <w:rPr>
          <w:rStyle w:val="Heading2Char"/>
          <w:rFonts w:cs="Arial"/>
          <w:szCs w:val="24"/>
        </w:rPr>
      </w:pPr>
    </w:p>
    <w:p w:rsidR="00463D5C" w:rsidRDefault="00463D5C" w:rsidP="00463D5C">
      <w:pPr>
        <w:keepNext/>
        <w:outlineLvl w:val="2"/>
        <w:rPr>
          <w:rFonts w:ascii="Arial" w:eastAsia="Times New Roman" w:hAnsi="Arial" w:cs="Arial"/>
          <w:b/>
          <w:bCs/>
          <w:color w:val="000000"/>
          <w:sz w:val="24"/>
          <w:szCs w:val="24"/>
        </w:rPr>
      </w:pPr>
      <w:r>
        <w:rPr>
          <w:rStyle w:val="Heading2Char"/>
          <w:rFonts w:cs="Arial"/>
          <w:szCs w:val="24"/>
        </w:rPr>
        <w:t>Recommendation/action required</w:t>
      </w:r>
      <w:r>
        <w:rPr>
          <w:rFonts w:ascii="Arial" w:eastAsia="Times New Roman" w:hAnsi="Arial" w:cs="Arial"/>
          <w:b/>
          <w:bCs/>
          <w:color w:val="000000"/>
          <w:sz w:val="24"/>
          <w:szCs w:val="24"/>
        </w:rPr>
        <w:t>:</w:t>
      </w:r>
    </w:p>
    <w:p w:rsidR="00463D5C" w:rsidRDefault="00463D5C" w:rsidP="00463D5C">
      <w:pPr>
        <w:keepNext/>
        <w:outlineLvl w:val="2"/>
        <w:rPr>
          <w:rFonts w:ascii="Arial" w:eastAsia="Times New Roman"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63D5C" w:rsidTr="00463D5C">
        <w:tc>
          <w:tcPr>
            <w:tcW w:w="9344" w:type="dxa"/>
            <w:tcBorders>
              <w:top w:val="single" w:sz="4" w:space="0" w:color="auto"/>
              <w:left w:val="single" w:sz="4" w:space="0" w:color="auto"/>
              <w:bottom w:val="single" w:sz="4" w:space="0" w:color="auto"/>
              <w:right w:val="single" w:sz="4" w:space="0" w:color="auto"/>
            </w:tcBorders>
          </w:tcPr>
          <w:p w:rsidR="00463D5C" w:rsidRDefault="00463D5C">
            <w:pPr>
              <w:spacing w:line="256" w:lineRule="auto"/>
              <w:jc w:val="both"/>
              <w:rPr>
                <w:rFonts w:ascii="Arial" w:hAnsi="Arial" w:cs="Arial"/>
                <w:sz w:val="24"/>
                <w:szCs w:val="24"/>
              </w:rPr>
            </w:pPr>
          </w:p>
          <w:p w:rsidR="00463D5C" w:rsidRDefault="00463D5C">
            <w:pPr>
              <w:spacing w:line="256" w:lineRule="auto"/>
              <w:jc w:val="both"/>
              <w:rPr>
                <w:rFonts w:ascii="Arial" w:hAnsi="Arial" w:cs="Arial"/>
                <w:sz w:val="24"/>
                <w:szCs w:val="24"/>
              </w:rPr>
            </w:pPr>
            <w:r>
              <w:rPr>
                <w:rFonts w:ascii="Arial" w:hAnsi="Arial" w:cs="Arial"/>
                <w:sz w:val="24"/>
                <w:szCs w:val="24"/>
              </w:rPr>
              <w:t>The Board is asked to note the paper.</w:t>
            </w:r>
          </w:p>
          <w:p w:rsidR="00463D5C" w:rsidRDefault="00463D5C">
            <w:pPr>
              <w:spacing w:line="256" w:lineRule="auto"/>
              <w:jc w:val="both"/>
              <w:rPr>
                <w:rFonts w:ascii="Arial" w:hAnsi="Arial" w:cs="Arial"/>
                <w:sz w:val="24"/>
                <w:szCs w:val="24"/>
              </w:rPr>
            </w:pPr>
          </w:p>
          <w:p w:rsidR="00463D5C" w:rsidRDefault="00463D5C">
            <w:pPr>
              <w:spacing w:line="256" w:lineRule="auto"/>
              <w:jc w:val="both"/>
              <w:rPr>
                <w:rFonts w:ascii="Arial" w:hAnsi="Arial" w:cs="Arial"/>
                <w:sz w:val="24"/>
                <w:szCs w:val="24"/>
              </w:rPr>
            </w:pPr>
          </w:p>
        </w:tc>
      </w:tr>
    </w:tbl>
    <w:p w:rsidR="00463D5C" w:rsidRDefault="00463D5C" w:rsidP="00463D5C">
      <w:pPr>
        <w:jc w:val="both"/>
        <w:rPr>
          <w:rFonts w:ascii="Arial" w:hAnsi="Arial" w:cs="Arial"/>
          <w:sz w:val="24"/>
          <w:szCs w:val="24"/>
        </w:rPr>
      </w:pPr>
    </w:p>
    <w:p w:rsidR="00463D5C" w:rsidRDefault="00463D5C" w:rsidP="00463D5C">
      <w:pPr>
        <w:pStyle w:val="Heading2"/>
        <w:rPr>
          <w:rFonts w:cs="Arial"/>
          <w:b w:val="0"/>
        </w:rPr>
      </w:pPr>
      <w:r>
        <w:rPr>
          <w:rFonts w:cs="Arial"/>
          <w:b w:val="0"/>
        </w:rPr>
        <w:t xml:space="preserve">Author:                                                         Sponsoring Director:                                             </w:t>
      </w:r>
      <w:r>
        <w:rPr>
          <w:rFonts w:cs="Arial"/>
          <w:b w:val="0"/>
        </w:rPr>
        <w:tab/>
      </w:r>
      <w:r>
        <w:rPr>
          <w:rFonts w:cs="Arial"/>
          <w:b w:val="0"/>
        </w:rPr>
        <w:tab/>
      </w:r>
      <w:r>
        <w:rPr>
          <w:rFonts w:cs="Arial"/>
          <w:b w:val="0"/>
        </w:rPr>
        <w:tab/>
      </w:r>
      <w:r>
        <w:rPr>
          <w:rFonts w:cs="Arial"/>
          <w:b w:val="0"/>
        </w:rPr>
        <w:tab/>
      </w:r>
      <w:r>
        <w:rPr>
          <w:rFonts w:cs="Arial"/>
          <w:b w:val="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540"/>
      </w:tblGrid>
      <w:tr w:rsidR="00463D5C" w:rsidTr="00463D5C">
        <w:tc>
          <w:tcPr>
            <w:tcW w:w="4608" w:type="dxa"/>
            <w:tcBorders>
              <w:top w:val="single" w:sz="4" w:space="0" w:color="auto"/>
              <w:left w:val="single" w:sz="4" w:space="0" w:color="auto"/>
              <w:bottom w:val="single" w:sz="4" w:space="0" w:color="auto"/>
              <w:right w:val="single" w:sz="4" w:space="0" w:color="auto"/>
            </w:tcBorders>
            <w:hideMark/>
          </w:tcPr>
          <w:p w:rsidR="00463D5C" w:rsidRDefault="00463D5C">
            <w:pPr>
              <w:spacing w:line="256" w:lineRule="auto"/>
              <w:jc w:val="both"/>
              <w:rPr>
                <w:rFonts w:ascii="Arial" w:hAnsi="Arial" w:cs="Arial"/>
                <w:b/>
                <w:sz w:val="24"/>
                <w:szCs w:val="24"/>
              </w:rPr>
            </w:pPr>
            <w:r>
              <w:rPr>
                <w:rFonts w:ascii="Arial" w:hAnsi="Arial" w:cs="Arial"/>
                <w:b/>
                <w:sz w:val="24"/>
                <w:szCs w:val="24"/>
              </w:rPr>
              <w:t>Gerald McLaughlin</w:t>
            </w:r>
          </w:p>
          <w:p w:rsidR="00463D5C" w:rsidRDefault="00463D5C">
            <w:pPr>
              <w:spacing w:line="256" w:lineRule="auto"/>
              <w:jc w:val="both"/>
              <w:rPr>
                <w:rFonts w:ascii="Arial" w:hAnsi="Arial" w:cs="Arial"/>
                <w:b/>
                <w:sz w:val="24"/>
                <w:szCs w:val="24"/>
              </w:rPr>
            </w:pPr>
            <w:r>
              <w:rPr>
                <w:rFonts w:ascii="Arial" w:hAnsi="Arial" w:cs="Arial"/>
                <w:b/>
                <w:sz w:val="24"/>
                <w:szCs w:val="24"/>
              </w:rPr>
              <w:t>Chief Executive</w:t>
            </w:r>
          </w:p>
        </w:tc>
        <w:tc>
          <w:tcPr>
            <w:tcW w:w="4736" w:type="dxa"/>
            <w:tcBorders>
              <w:top w:val="single" w:sz="4" w:space="0" w:color="auto"/>
              <w:left w:val="single" w:sz="4" w:space="0" w:color="auto"/>
              <w:bottom w:val="single" w:sz="4" w:space="0" w:color="auto"/>
              <w:right w:val="single" w:sz="4" w:space="0" w:color="auto"/>
            </w:tcBorders>
          </w:tcPr>
          <w:p w:rsidR="00463D5C" w:rsidRDefault="00463D5C">
            <w:pPr>
              <w:spacing w:line="256" w:lineRule="auto"/>
              <w:jc w:val="both"/>
              <w:rPr>
                <w:rFonts w:ascii="Arial" w:hAnsi="Arial" w:cs="Arial"/>
                <w:b/>
                <w:sz w:val="24"/>
                <w:szCs w:val="24"/>
              </w:rPr>
            </w:pPr>
          </w:p>
          <w:p w:rsidR="00463D5C" w:rsidRDefault="00463D5C">
            <w:pPr>
              <w:spacing w:line="256" w:lineRule="auto"/>
              <w:jc w:val="both"/>
              <w:rPr>
                <w:rFonts w:ascii="Arial" w:hAnsi="Arial" w:cs="Arial"/>
                <w:b/>
                <w:sz w:val="24"/>
                <w:szCs w:val="24"/>
              </w:rPr>
            </w:pPr>
          </w:p>
        </w:tc>
      </w:tr>
    </w:tbl>
    <w:p w:rsidR="00463D5C" w:rsidRDefault="00463D5C" w:rsidP="00463D5C">
      <w:pPr>
        <w:rPr>
          <w:rFonts w:ascii="Arial" w:hAnsi="Arial" w:cs="Arial"/>
          <w:sz w:val="24"/>
          <w:szCs w:val="24"/>
        </w:rPr>
      </w:pPr>
    </w:p>
    <w:p w:rsidR="00463D5C" w:rsidRDefault="00463D5C" w:rsidP="00463D5C">
      <w:pPr>
        <w:rPr>
          <w:rFonts w:ascii="Arial" w:hAnsi="Arial" w:cs="Arial"/>
          <w:b/>
          <w:sz w:val="24"/>
          <w:szCs w:val="24"/>
        </w:rPr>
      </w:pPr>
    </w:p>
    <w:p w:rsidR="00463D5C" w:rsidRDefault="000B12C7" w:rsidP="00463D5C">
      <w:pPr>
        <w:rPr>
          <w:rFonts w:ascii="Arial" w:hAnsi="Arial" w:cs="Arial"/>
          <w:b/>
          <w:sz w:val="24"/>
          <w:szCs w:val="24"/>
        </w:rPr>
      </w:pPr>
      <w:r>
        <w:rPr>
          <w:rFonts w:ascii="Arial" w:hAnsi="Arial" w:cs="Arial"/>
          <w:b/>
          <w:sz w:val="24"/>
          <w:szCs w:val="24"/>
        </w:rPr>
        <w:t>18 September</w:t>
      </w:r>
      <w:r w:rsidR="00C4626A">
        <w:rPr>
          <w:rFonts w:ascii="Arial" w:hAnsi="Arial" w:cs="Arial"/>
          <w:b/>
          <w:sz w:val="24"/>
          <w:szCs w:val="24"/>
        </w:rPr>
        <w:t xml:space="preserve"> 2019</w:t>
      </w:r>
      <w:r w:rsidR="00463D5C">
        <w:rPr>
          <w:rFonts w:ascii="Arial" w:hAnsi="Arial" w:cs="Arial"/>
          <w:b/>
          <w:sz w:val="24"/>
          <w:szCs w:val="24"/>
        </w:rPr>
        <w:br w:type="page"/>
      </w:r>
    </w:p>
    <w:p w:rsidR="00463D5C" w:rsidRDefault="00463D5C" w:rsidP="00463D5C">
      <w:pPr>
        <w:jc w:val="both"/>
        <w:rPr>
          <w:rFonts w:ascii="Arial" w:hAnsi="Arial" w:cs="Arial"/>
          <w:b/>
          <w:sz w:val="24"/>
          <w:szCs w:val="24"/>
        </w:rPr>
      </w:pPr>
      <w:r>
        <w:rPr>
          <w:rFonts w:ascii="Arial" w:hAnsi="Arial" w:cs="Arial"/>
          <w:b/>
          <w:sz w:val="24"/>
          <w:szCs w:val="24"/>
        </w:rPr>
        <w:lastRenderedPageBreak/>
        <w:t>CHIEF EXECUTIVE’S UPDATE</w:t>
      </w:r>
    </w:p>
    <w:p w:rsidR="00B95634" w:rsidRDefault="00B95634" w:rsidP="00266791">
      <w:pPr>
        <w:contextualSpacing/>
        <w:jc w:val="both"/>
        <w:rPr>
          <w:rFonts w:ascii="Arial" w:hAnsi="Arial" w:cs="Arial"/>
          <w:sz w:val="24"/>
          <w:szCs w:val="24"/>
        </w:rPr>
      </w:pPr>
    </w:p>
    <w:p w:rsidR="00266791" w:rsidRDefault="00266791" w:rsidP="00266791">
      <w:pPr>
        <w:contextualSpacing/>
        <w:jc w:val="both"/>
        <w:rPr>
          <w:rFonts w:ascii="Arial" w:hAnsi="Arial" w:cs="Arial"/>
          <w:sz w:val="24"/>
          <w:szCs w:val="24"/>
        </w:rPr>
      </w:pPr>
    </w:p>
    <w:p w:rsidR="00266791" w:rsidRDefault="00266791" w:rsidP="00266791">
      <w:pPr>
        <w:contextualSpacing/>
        <w:jc w:val="both"/>
        <w:rPr>
          <w:rFonts w:ascii="Arial" w:hAnsi="Arial" w:cs="Arial"/>
          <w:sz w:val="24"/>
          <w:szCs w:val="24"/>
        </w:rPr>
      </w:pPr>
    </w:p>
    <w:p w:rsidR="00463D5C" w:rsidRDefault="00463D5C" w:rsidP="00463D5C">
      <w:pPr>
        <w:pStyle w:val="Heading2"/>
        <w:rPr>
          <w:rFonts w:cs="Arial"/>
          <w:szCs w:val="24"/>
        </w:rPr>
      </w:pPr>
      <w:r>
        <w:rPr>
          <w:rFonts w:cs="Arial"/>
          <w:szCs w:val="24"/>
        </w:rPr>
        <w:t xml:space="preserve">Purpose </w:t>
      </w:r>
    </w:p>
    <w:p w:rsidR="00463D5C" w:rsidRDefault="00463D5C" w:rsidP="00463D5C">
      <w:pPr>
        <w:jc w:val="both"/>
        <w:rPr>
          <w:rFonts w:ascii="Arial" w:hAnsi="Arial" w:cs="Arial"/>
          <w:sz w:val="24"/>
          <w:szCs w:val="24"/>
        </w:rPr>
      </w:pPr>
    </w:p>
    <w:p w:rsidR="00186847" w:rsidRPr="00186847" w:rsidRDefault="00463D5C" w:rsidP="00186847">
      <w:pPr>
        <w:pStyle w:val="ListParagraph"/>
        <w:numPr>
          <w:ilvl w:val="0"/>
          <w:numId w:val="14"/>
        </w:numPr>
        <w:tabs>
          <w:tab w:val="left" w:pos="630"/>
        </w:tabs>
        <w:spacing w:after="0"/>
        <w:rPr>
          <w:rFonts w:ascii="Arial" w:hAnsi="Arial" w:cs="Arial"/>
          <w:sz w:val="24"/>
          <w:szCs w:val="24"/>
        </w:rPr>
      </w:pPr>
      <w:r w:rsidRPr="00266791">
        <w:rPr>
          <w:rFonts w:ascii="Arial" w:hAnsi="Arial" w:cs="Arial"/>
          <w:sz w:val="24"/>
          <w:szCs w:val="24"/>
        </w:rPr>
        <w:t>The purpose of this paper is to provide an update</w:t>
      </w:r>
      <w:r w:rsidR="00543072" w:rsidRPr="00266791">
        <w:rPr>
          <w:rFonts w:ascii="Arial" w:hAnsi="Arial" w:cs="Arial"/>
          <w:sz w:val="24"/>
          <w:szCs w:val="24"/>
        </w:rPr>
        <w:t xml:space="preserve"> to the Board on activities and</w:t>
      </w:r>
    </w:p>
    <w:p w:rsidR="0078426F" w:rsidRPr="00186847" w:rsidRDefault="00463D5C" w:rsidP="00186847">
      <w:pPr>
        <w:tabs>
          <w:tab w:val="left" w:pos="630"/>
        </w:tabs>
        <w:ind w:left="630"/>
        <w:rPr>
          <w:rFonts w:ascii="Arial" w:hAnsi="Arial" w:cs="Arial"/>
          <w:sz w:val="24"/>
          <w:szCs w:val="24"/>
        </w:rPr>
      </w:pPr>
      <w:proofErr w:type="gramStart"/>
      <w:r w:rsidRPr="00186847">
        <w:rPr>
          <w:rFonts w:ascii="Arial" w:hAnsi="Arial" w:cs="Arial"/>
          <w:sz w:val="24"/>
          <w:szCs w:val="24"/>
        </w:rPr>
        <w:t>matters</w:t>
      </w:r>
      <w:proofErr w:type="gramEnd"/>
      <w:r w:rsidRPr="00186847">
        <w:rPr>
          <w:rFonts w:ascii="Arial" w:hAnsi="Arial" w:cs="Arial"/>
          <w:sz w:val="24"/>
          <w:szCs w:val="24"/>
        </w:rPr>
        <w:t xml:space="preserve"> involving the Chief Executive and Directors which are not covered by other papers on the agenda.</w:t>
      </w:r>
    </w:p>
    <w:p w:rsidR="00DB5C1A" w:rsidRDefault="00DB5C1A" w:rsidP="00DB5C1A">
      <w:pPr>
        <w:pStyle w:val="ListParagraph"/>
        <w:tabs>
          <w:tab w:val="left" w:pos="630"/>
        </w:tabs>
        <w:rPr>
          <w:rFonts w:ascii="Arial" w:hAnsi="Arial" w:cs="Arial"/>
          <w:b/>
          <w:sz w:val="24"/>
          <w:szCs w:val="24"/>
        </w:rPr>
      </w:pPr>
    </w:p>
    <w:p w:rsidR="00186847" w:rsidRPr="00FC29FA" w:rsidRDefault="00186847" w:rsidP="00DB5C1A">
      <w:pPr>
        <w:pStyle w:val="ListParagraph"/>
        <w:numPr>
          <w:ilvl w:val="0"/>
          <w:numId w:val="14"/>
        </w:numPr>
        <w:tabs>
          <w:tab w:val="left" w:pos="630"/>
        </w:tabs>
        <w:rPr>
          <w:rFonts w:ascii="Arial" w:hAnsi="Arial" w:cs="Arial"/>
          <w:b/>
          <w:sz w:val="24"/>
          <w:szCs w:val="24"/>
        </w:rPr>
      </w:pPr>
      <w:r w:rsidRPr="00DB5C1A">
        <w:rPr>
          <w:rFonts w:ascii="Arial" w:eastAsia="Times New Roman" w:hAnsi="Arial" w:cs="Arial"/>
          <w:b/>
          <w:sz w:val="24"/>
          <w:szCs w:val="24"/>
          <w:lang w:val="en-US"/>
        </w:rPr>
        <w:t>Delivery business highlights</w:t>
      </w:r>
    </w:p>
    <w:p w:rsidR="00AA7A01" w:rsidRDefault="00AA7A01" w:rsidP="00AA7A01">
      <w:pPr>
        <w:tabs>
          <w:tab w:val="left" w:pos="630"/>
        </w:tabs>
        <w:ind w:left="720"/>
        <w:rPr>
          <w:rFonts w:ascii="Arial" w:hAnsi="Arial" w:cs="Arial"/>
          <w:sz w:val="24"/>
          <w:szCs w:val="24"/>
        </w:rPr>
      </w:pPr>
      <w:r w:rsidRPr="00AA7A01">
        <w:rPr>
          <w:rFonts w:ascii="Arial" w:hAnsi="Arial" w:cs="Arial"/>
          <w:sz w:val="24"/>
          <w:szCs w:val="24"/>
        </w:rPr>
        <w:t>2.1</w:t>
      </w:r>
      <w:r>
        <w:rPr>
          <w:rFonts w:ascii="Arial" w:hAnsi="Arial" w:cs="Arial"/>
          <w:sz w:val="24"/>
          <w:szCs w:val="24"/>
        </w:rPr>
        <w:tab/>
        <w:t xml:space="preserve">Safe Effective Quality Occupational Health Service (SEQOHS) </w:t>
      </w:r>
    </w:p>
    <w:p w:rsidR="00AA7A01" w:rsidRDefault="00AA7A01" w:rsidP="00AA7A01">
      <w:pPr>
        <w:tabs>
          <w:tab w:val="left" w:pos="630"/>
        </w:tabs>
        <w:ind w:left="720"/>
        <w:rPr>
          <w:rFonts w:ascii="Arial" w:hAnsi="Arial" w:cs="Arial"/>
          <w:sz w:val="24"/>
          <w:szCs w:val="24"/>
        </w:rPr>
      </w:pPr>
    </w:p>
    <w:p w:rsidR="00AA7A01" w:rsidRDefault="00AA7A01" w:rsidP="00AA7A01">
      <w:pPr>
        <w:pStyle w:val="ListParagraph"/>
        <w:ind w:left="1440"/>
        <w:outlineLvl w:val="0"/>
        <w:rPr>
          <w:rFonts w:ascii="Arial" w:eastAsia="Times New Roman" w:hAnsi="Arial" w:cs="Arial"/>
          <w:sz w:val="24"/>
          <w:szCs w:val="24"/>
          <w:lang w:val="en-US"/>
        </w:rPr>
      </w:pPr>
      <w:r w:rsidRPr="00AA7A01">
        <w:rPr>
          <w:rFonts w:ascii="Arial" w:eastAsia="Times New Roman" w:hAnsi="Arial" w:cs="Arial"/>
          <w:sz w:val="24"/>
          <w:szCs w:val="24"/>
          <w:lang w:val="en-US"/>
        </w:rPr>
        <w:t>This</w:t>
      </w:r>
      <w:r w:rsidR="00DA252A">
        <w:rPr>
          <w:rFonts w:ascii="Arial" w:eastAsia="Times New Roman" w:hAnsi="Arial" w:cs="Arial"/>
          <w:sz w:val="24"/>
          <w:szCs w:val="24"/>
          <w:lang w:val="en-US"/>
        </w:rPr>
        <w:t xml:space="preserve"> is</w:t>
      </w:r>
      <w:r w:rsidRPr="00AA7A01">
        <w:rPr>
          <w:rFonts w:ascii="Arial" w:eastAsia="Times New Roman" w:hAnsi="Arial" w:cs="Arial"/>
          <w:sz w:val="24"/>
          <w:szCs w:val="24"/>
          <w:lang w:val="en-US"/>
        </w:rPr>
        <w:t xml:space="preserve"> an accreditation scheme managed by the Faculty of Occupational Medicine (the professional and educational body for occupational medicine in the UK). It is the formal recognition that an occupational health service provider has demonstrated that it has the competence to deliver against the measures in the SEQOHS standards.  Using a 5 year cycle with annual re-accreditation and NHS Health Scotland Health &amp; Work Directorate have successfully re-accredited for </w:t>
      </w:r>
      <w:r>
        <w:rPr>
          <w:rFonts w:ascii="Arial" w:eastAsia="Times New Roman" w:hAnsi="Arial" w:cs="Arial"/>
          <w:sz w:val="24"/>
          <w:szCs w:val="24"/>
          <w:lang w:val="en-US"/>
        </w:rPr>
        <w:t xml:space="preserve">the </w:t>
      </w:r>
      <w:r w:rsidRPr="00AA7A01">
        <w:rPr>
          <w:rFonts w:ascii="Arial" w:eastAsia="Times New Roman" w:hAnsi="Arial" w:cs="Arial"/>
          <w:sz w:val="24"/>
          <w:szCs w:val="24"/>
          <w:lang w:val="en-US"/>
        </w:rPr>
        <w:t>final year of the cycle.</w:t>
      </w:r>
    </w:p>
    <w:p w:rsidR="00AA7A01" w:rsidRDefault="00AA7A01" w:rsidP="00AA7A01">
      <w:pPr>
        <w:ind w:left="360"/>
        <w:rPr>
          <w:rFonts w:ascii="Arial" w:eastAsia="Times New Roman" w:hAnsi="Arial" w:cs="Arial"/>
          <w:sz w:val="24"/>
          <w:szCs w:val="24"/>
          <w:lang w:val="en-US"/>
        </w:rPr>
      </w:pPr>
      <w:r w:rsidRPr="00AA7A01">
        <w:rPr>
          <w:rFonts w:ascii="Arial" w:eastAsia="Times New Roman" w:hAnsi="Arial" w:cs="Arial"/>
          <w:sz w:val="24"/>
          <w:szCs w:val="24"/>
          <w:lang w:val="en-US"/>
        </w:rPr>
        <w:tab/>
        <w:t>2.2</w:t>
      </w:r>
      <w:r>
        <w:rPr>
          <w:rFonts w:ascii="Arial" w:eastAsia="Times New Roman" w:hAnsi="Arial" w:cs="Arial"/>
          <w:sz w:val="24"/>
          <w:szCs w:val="24"/>
          <w:lang w:val="en-US"/>
        </w:rPr>
        <w:tab/>
        <w:t>Housing and Health</w:t>
      </w:r>
      <w:r w:rsidRPr="00AA7A01">
        <w:rPr>
          <w:rFonts w:ascii="Arial" w:eastAsia="Times New Roman" w:hAnsi="Arial" w:cs="Arial"/>
          <w:sz w:val="24"/>
          <w:szCs w:val="24"/>
          <w:lang w:val="en-US"/>
        </w:rPr>
        <w:tab/>
      </w:r>
    </w:p>
    <w:p w:rsidR="00AA7A01" w:rsidRDefault="00AA7A01" w:rsidP="00AA7A01">
      <w:pPr>
        <w:ind w:left="360"/>
        <w:rPr>
          <w:rFonts w:ascii="Arial" w:eastAsia="Times New Roman" w:hAnsi="Arial" w:cs="Arial"/>
          <w:sz w:val="24"/>
          <w:szCs w:val="24"/>
          <w:lang w:val="en-US"/>
        </w:rPr>
      </w:pPr>
    </w:p>
    <w:p w:rsidR="00AA7A01" w:rsidRDefault="00AA7A01" w:rsidP="00AA7A01">
      <w:pPr>
        <w:ind w:left="1440"/>
        <w:rPr>
          <w:rFonts w:ascii="Arial" w:hAnsi="Arial" w:cs="Arial"/>
          <w:color w:val="000000"/>
          <w:sz w:val="24"/>
          <w:szCs w:val="24"/>
        </w:rPr>
      </w:pPr>
      <w:r w:rsidRPr="00AA7A01">
        <w:rPr>
          <w:rFonts w:ascii="Arial" w:hAnsi="Arial" w:cs="Arial"/>
          <w:color w:val="000000"/>
          <w:sz w:val="24"/>
          <w:szCs w:val="24"/>
        </w:rPr>
        <w:t xml:space="preserve">Refreshed </w:t>
      </w:r>
      <w:r w:rsidR="004B76D7">
        <w:rPr>
          <w:rFonts w:ascii="Arial" w:hAnsi="Arial" w:cs="Arial"/>
          <w:color w:val="000000"/>
          <w:sz w:val="24"/>
          <w:szCs w:val="24"/>
        </w:rPr>
        <w:t>Scottish G</w:t>
      </w:r>
      <w:r>
        <w:rPr>
          <w:rFonts w:ascii="Arial" w:hAnsi="Arial" w:cs="Arial"/>
          <w:color w:val="000000"/>
          <w:sz w:val="24"/>
          <w:szCs w:val="24"/>
        </w:rPr>
        <w:t xml:space="preserve">overnment </w:t>
      </w:r>
      <w:r w:rsidRPr="00AA7A01">
        <w:rPr>
          <w:rFonts w:ascii="Arial" w:hAnsi="Arial" w:cs="Arial"/>
          <w:color w:val="000000"/>
          <w:sz w:val="24"/>
          <w:szCs w:val="24"/>
        </w:rPr>
        <w:t xml:space="preserve">Local Housing Strategy guidance was published this week (see </w:t>
      </w:r>
      <w:hyperlink r:id="rId10" w:history="1">
        <w:r w:rsidRPr="00AA7A01">
          <w:rPr>
            <w:rStyle w:val="Hyperlink"/>
            <w:rFonts w:ascii="Arial" w:hAnsi="Arial" w:cs="Arial"/>
            <w:sz w:val="24"/>
            <w:szCs w:val="24"/>
          </w:rPr>
          <w:t>https://www.gov.scot/publications/local-housing-strategy-guidance-2019/</w:t>
        </w:r>
      </w:hyperlink>
      <w:r w:rsidRPr="00AA7A01">
        <w:rPr>
          <w:rFonts w:ascii="Arial" w:hAnsi="Arial" w:cs="Arial"/>
          <w:color w:val="000000"/>
          <w:sz w:val="24"/>
          <w:szCs w:val="24"/>
        </w:rPr>
        <w:t>) and incorporated many of the points we recommended for strengthening impact on health/inequality</w:t>
      </w:r>
    </w:p>
    <w:p w:rsidR="00AA7A01" w:rsidRDefault="00AA7A01" w:rsidP="00AA7A01">
      <w:pPr>
        <w:ind w:left="360"/>
        <w:rPr>
          <w:rFonts w:ascii="Arial" w:hAnsi="Arial" w:cs="Arial"/>
          <w:color w:val="000000"/>
          <w:sz w:val="24"/>
          <w:szCs w:val="24"/>
        </w:rPr>
      </w:pPr>
    </w:p>
    <w:p w:rsidR="00AA7A01" w:rsidRDefault="00AA7A01" w:rsidP="00AA7A01">
      <w:pPr>
        <w:ind w:left="1440"/>
        <w:rPr>
          <w:rFonts w:ascii="Arial" w:hAnsi="Arial" w:cs="Arial"/>
          <w:color w:val="000000"/>
          <w:sz w:val="24"/>
          <w:szCs w:val="24"/>
        </w:rPr>
      </w:pPr>
      <w:r>
        <w:rPr>
          <w:rFonts w:ascii="Arial" w:hAnsi="Arial" w:cs="Arial"/>
          <w:color w:val="000000"/>
          <w:sz w:val="24"/>
          <w:szCs w:val="24"/>
        </w:rPr>
        <w:t xml:space="preserve">Health Scotland </w:t>
      </w:r>
      <w:r w:rsidRPr="00AA7A01">
        <w:rPr>
          <w:rFonts w:ascii="Arial" w:hAnsi="Arial" w:cs="Arial"/>
          <w:color w:val="000000"/>
          <w:sz w:val="24"/>
          <w:szCs w:val="24"/>
        </w:rPr>
        <w:t>has been invited to be part of a formal group that reports to the Cross Party Group on Housing.  The remit of the group is to bring together a range of housing policy professionals and practitioners to deliver a strong, balanced response to the Scottish Government’s consultation on Housing to 2040.  We have had early success in focussing the attention of the group on health.</w:t>
      </w:r>
    </w:p>
    <w:p w:rsidR="00083BF9" w:rsidRDefault="00083BF9" w:rsidP="00AA7A01">
      <w:pPr>
        <w:ind w:left="1440"/>
        <w:rPr>
          <w:rFonts w:ascii="Arial" w:hAnsi="Arial" w:cs="Arial"/>
          <w:color w:val="000000"/>
          <w:sz w:val="24"/>
          <w:szCs w:val="24"/>
        </w:rPr>
      </w:pPr>
    </w:p>
    <w:p w:rsidR="00083BF9" w:rsidRDefault="00AA7A01" w:rsidP="00AA7A01">
      <w:pPr>
        <w:rPr>
          <w:rFonts w:ascii="Arial" w:hAnsi="Arial" w:cs="Arial"/>
          <w:color w:val="000000"/>
          <w:sz w:val="24"/>
          <w:szCs w:val="24"/>
        </w:rPr>
      </w:pPr>
      <w:r>
        <w:rPr>
          <w:rFonts w:ascii="Arial" w:hAnsi="Arial" w:cs="Arial"/>
          <w:color w:val="000000"/>
          <w:sz w:val="24"/>
          <w:szCs w:val="24"/>
        </w:rPr>
        <w:tab/>
        <w:t>2.3</w:t>
      </w:r>
      <w:r>
        <w:rPr>
          <w:rFonts w:ascii="Arial" w:hAnsi="Arial" w:cs="Arial"/>
          <w:color w:val="000000"/>
          <w:sz w:val="24"/>
          <w:szCs w:val="24"/>
        </w:rPr>
        <w:tab/>
      </w:r>
      <w:r w:rsidR="00083BF9">
        <w:rPr>
          <w:rFonts w:ascii="Arial" w:hAnsi="Arial" w:cs="Arial"/>
          <w:color w:val="000000"/>
          <w:sz w:val="24"/>
          <w:szCs w:val="24"/>
        </w:rPr>
        <w:t>Shelter</w:t>
      </w:r>
    </w:p>
    <w:p w:rsidR="00083BF9" w:rsidRDefault="00083BF9" w:rsidP="00083BF9">
      <w:pPr>
        <w:tabs>
          <w:tab w:val="left" w:pos="1530"/>
        </w:tabs>
        <w:rPr>
          <w:rFonts w:ascii="Arial" w:hAnsi="Arial" w:cs="Arial"/>
          <w:color w:val="000000"/>
          <w:sz w:val="24"/>
          <w:szCs w:val="24"/>
        </w:rPr>
      </w:pPr>
      <w:r>
        <w:rPr>
          <w:rFonts w:ascii="Arial" w:hAnsi="Arial" w:cs="Arial"/>
          <w:color w:val="000000"/>
          <w:sz w:val="24"/>
          <w:szCs w:val="24"/>
        </w:rPr>
        <w:t xml:space="preserve">                      </w:t>
      </w:r>
    </w:p>
    <w:p w:rsidR="00083BF9" w:rsidRDefault="00083BF9" w:rsidP="00083BF9">
      <w:pPr>
        <w:ind w:left="1440"/>
        <w:rPr>
          <w:rFonts w:ascii="Arial" w:hAnsi="Arial" w:cs="Arial"/>
          <w:color w:val="000000"/>
          <w:sz w:val="24"/>
          <w:szCs w:val="24"/>
        </w:rPr>
      </w:pPr>
      <w:r>
        <w:rPr>
          <w:rFonts w:ascii="Arial" w:hAnsi="Arial" w:cs="Arial"/>
          <w:color w:val="000000"/>
          <w:sz w:val="24"/>
          <w:szCs w:val="24"/>
        </w:rPr>
        <w:t>Shelter UK has publicly recorded its thanks to Health Scotland for supporting its campaign to ensure housing is recognised as a human right and for signing its Charter for Change</w:t>
      </w:r>
    </w:p>
    <w:p w:rsidR="00083BF9" w:rsidRDefault="00083BF9" w:rsidP="00083BF9">
      <w:pPr>
        <w:ind w:left="1440"/>
        <w:rPr>
          <w:rFonts w:ascii="Arial" w:hAnsi="Arial" w:cs="Arial"/>
          <w:color w:val="000000"/>
          <w:sz w:val="24"/>
          <w:szCs w:val="24"/>
        </w:rPr>
      </w:pPr>
    </w:p>
    <w:p w:rsidR="00AA7A01" w:rsidRDefault="00083BF9" w:rsidP="00083BF9">
      <w:pPr>
        <w:ind w:firstLine="720"/>
        <w:rPr>
          <w:rFonts w:ascii="Arial" w:hAnsi="Arial" w:cs="Arial"/>
          <w:color w:val="000000"/>
          <w:sz w:val="24"/>
          <w:szCs w:val="24"/>
        </w:rPr>
      </w:pPr>
      <w:r>
        <w:rPr>
          <w:rFonts w:ascii="Arial" w:hAnsi="Arial" w:cs="Arial"/>
          <w:color w:val="000000"/>
          <w:sz w:val="24"/>
          <w:szCs w:val="24"/>
        </w:rPr>
        <w:t>2.4</w:t>
      </w:r>
      <w:r>
        <w:rPr>
          <w:rFonts w:ascii="Arial" w:hAnsi="Arial" w:cs="Arial"/>
          <w:color w:val="000000"/>
          <w:sz w:val="24"/>
          <w:szCs w:val="24"/>
        </w:rPr>
        <w:tab/>
      </w:r>
      <w:r w:rsidR="00AA7A01">
        <w:rPr>
          <w:rFonts w:ascii="Arial" w:hAnsi="Arial" w:cs="Arial"/>
          <w:color w:val="000000"/>
          <w:sz w:val="24"/>
          <w:szCs w:val="24"/>
        </w:rPr>
        <w:t>Investing in Communities</w:t>
      </w:r>
    </w:p>
    <w:p w:rsidR="00AA7A01" w:rsidRPr="00AA7A01" w:rsidRDefault="00AA7A01" w:rsidP="00AA7A01">
      <w:pPr>
        <w:ind w:left="360"/>
        <w:rPr>
          <w:rFonts w:ascii="Arial" w:hAnsi="Arial" w:cs="Arial"/>
          <w:color w:val="000000"/>
          <w:sz w:val="24"/>
          <w:szCs w:val="24"/>
        </w:rPr>
      </w:pPr>
    </w:p>
    <w:p w:rsidR="00AA7A01" w:rsidRPr="00AA7A01" w:rsidRDefault="00AA7A01" w:rsidP="00AA7A01">
      <w:pPr>
        <w:ind w:left="1440"/>
        <w:rPr>
          <w:rFonts w:ascii="Arial" w:hAnsi="Arial" w:cs="Arial"/>
          <w:color w:val="000000"/>
          <w:sz w:val="24"/>
          <w:szCs w:val="24"/>
        </w:rPr>
      </w:pPr>
      <w:r>
        <w:rPr>
          <w:rFonts w:ascii="Arial" w:hAnsi="Arial" w:cs="Arial"/>
          <w:color w:val="000000"/>
          <w:sz w:val="24"/>
          <w:szCs w:val="24"/>
        </w:rPr>
        <w:t xml:space="preserve">Health Scotland </w:t>
      </w:r>
      <w:r w:rsidRPr="00AA7A01">
        <w:rPr>
          <w:rFonts w:ascii="Arial" w:hAnsi="Arial" w:cs="Arial"/>
          <w:color w:val="000000"/>
          <w:sz w:val="24"/>
          <w:szCs w:val="24"/>
        </w:rPr>
        <w:t xml:space="preserve">has been invited to be part of the independent assessment panel for the Scottish Government’s new Investing </w:t>
      </w:r>
      <w:proofErr w:type="gramStart"/>
      <w:r w:rsidRPr="00AA7A01">
        <w:rPr>
          <w:rFonts w:ascii="Arial" w:hAnsi="Arial" w:cs="Arial"/>
          <w:color w:val="000000"/>
          <w:sz w:val="24"/>
          <w:szCs w:val="24"/>
        </w:rPr>
        <w:t>In</w:t>
      </w:r>
      <w:proofErr w:type="gramEnd"/>
      <w:r w:rsidRPr="00AA7A01">
        <w:rPr>
          <w:rFonts w:ascii="Arial" w:hAnsi="Arial" w:cs="Arial"/>
          <w:color w:val="000000"/>
          <w:sz w:val="24"/>
          <w:szCs w:val="24"/>
        </w:rPr>
        <w:t xml:space="preserve"> Communities Fund. The new fund incorporates a number of previous funds including the Fair Food Fund.</w:t>
      </w:r>
    </w:p>
    <w:p w:rsidR="00A2603F" w:rsidRPr="00A2603F" w:rsidRDefault="00A2603F" w:rsidP="00A2603F">
      <w:pPr>
        <w:outlineLvl w:val="0"/>
        <w:rPr>
          <w:rFonts w:ascii="Arial" w:eastAsia="Times New Roman" w:hAnsi="Arial" w:cs="Arial"/>
          <w:sz w:val="24"/>
          <w:szCs w:val="24"/>
          <w:lang w:val="en-US"/>
        </w:rPr>
      </w:pPr>
    </w:p>
    <w:p w:rsidR="00FC29FA" w:rsidRPr="00FC29FA" w:rsidRDefault="00FC29FA" w:rsidP="00FC29FA">
      <w:pPr>
        <w:pStyle w:val="ListParagraph"/>
        <w:numPr>
          <w:ilvl w:val="0"/>
          <w:numId w:val="14"/>
        </w:numPr>
        <w:outlineLvl w:val="0"/>
        <w:rPr>
          <w:rFonts w:ascii="Arial" w:eastAsia="Times New Roman" w:hAnsi="Arial" w:cs="Arial"/>
          <w:b/>
          <w:sz w:val="24"/>
          <w:szCs w:val="24"/>
          <w:lang w:val="en-US"/>
        </w:rPr>
      </w:pPr>
      <w:r w:rsidRPr="00FC29FA">
        <w:rPr>
          <w:rFonts w:ascii="Arial" w:eastAsia="Times New Roman" w:hAnsi="Arial" w:cs="Arial"/>
          <w:b/>
          <w:sz w:val="24"/>
          <w:szCs w:val="24"/>
          <w:lang w:val="en-US"/>
        </w:rPr>
        <w:lastRenderedPageBreak/>
        <w:t>Health and Work management of risks</w:t>
      </w:r>
    </w:p>
    <w:p w:rsidR="00FC29FA" w:rsidRDefault="00FC29FA" w:rsidP="00FC29FA">
      <w:pPr>
        <w:pStyle w:val="ListParagraph"/>
        <w:tabs>
          <w:tab w:val="left" w:pos="630"/>
        </w:tabs>
        <w:rPr>
          <w:rFonts w:ascii="Arial" w:hAnsi="Arial" w:cs="Arial"/>
          <w:b/>
          <w:sz w:val="24"/>
          <w:szCs w:val="24"/>
        </w:rPr>
      </w:pPr>
    </w:p>
    <w:p w:rsidR="00FC29FA" w:rsidRPr="00FC29FA" w:rsidRDefault="00FC29FA" w:rsidP="00FC29FA">
      <w:pPr>
        <w:pStyle w:val="ListParagraph"/>
        <w:outlineLvl w:val="0"/>
        <w:rPr>
          <w:rFonts w:ascii="Arial" w:hAnsi="Arial" w:cs="Arial"/>
          <w:b/>
          <w:sz w:val="24"/>
          <w:szCs w:val="24"/>
        </w:rPr>
      </w:pPr>
      <w:r w:rsidRPr="00FC29FA">
        <w:rPr>
          <w:rFonts w:ascii="Arial" w:eastAsia="Times New Roman" w:hAnsi="Arial" w:cs="Arial"/>
          <w:sz w:val="24"/>
          <w:szCs w:val="24"/>
          <w:lang w:val="en-US"/>
        </w:rPr>
        <w:t>In order to reduce the risk for local Boards of having to issue precautionary redeployment notices to their staff, w</w:t>
      </w:r>
      <w:r>
        <w:rPr>
          <w:rFonts w:ascii="Arial" w:eastAsia="Times New Roman" w:hAnsi="Arial" w:cs="Arial"/>
          <w:sz w:val="24"/>
          <w:szCs w:val="24"/>
          <w:lang w:val="en-US"/>
        </w:rPr>
        <w:t xml:space="preserve">e have written to NHS Boards Healthy Working Lives </w:t>
      </w:r>
      <w:r w:rsidRPr="00FC29FA">
        <w:rPr>
          <w:rFonts w:ascii="Arial" w:eastAsia="Times New Roman" w:hAnsi="Arial" w:cs="Arial"/>
          <w:sz w:val="24"/>
          <w:szCs w:val="24"/>
          <w:lang w:val="en-US"/>
        </w:rPr>
        <w:t>Corporate Leads offering indicative support to continuing the current approach for financial allocations into 2020/21, conditional on Public Health Scotland accepting that recommendation.  To that end, the matter was highlighted as a current commitment and was noted by the Shadow Executive Management Team for Public Health Scotland</w:t>
      </w:r>
      <w:r>
        <w:rPr>
          <w:rFonts w:ascii="Arial" w:eastAsia="Times New Roman" w:hAnsi="Arial" w:cs="Arial"/>
          <w:sz w:val="24"/>
          <w:szCs w:val="24"/>
          <w:lang w:val="en-US"/>
        </w:rPr>
        <w:t>.</w:t>
      </w:r>
    </w:p>
    <w:p w:rsidR="00FC29FA" w:rsidRPr="00FC29FA" w:rsidRDefault="00FC29FA" w:rsidP="00FC29FA">
      <w:pPr>
        <w:pStyle w:val="ListParagraph"/>
        <w:rPr>
          <w:rFonts w:ascii="Arial" w:hAnsi="Arial" w:cs="Arial"/>
          <w:b/>
          <w:sz w:val="24"/>
          <w:szCs w:val="24"/>
        </w:rPr>
      </w:pPr>
    </w:p>
    <w:p w:rsidR="00FC29FA" w:rsidRPr="00FC29FA" w:rsidRDefault="00FC29FA" w:rsidP="00FC29FA">
      <w:pPr>
        <w:pStyle w:val="ListParagraph"/>
        <w:numPr>
          <w:ilvl w:val="0"/>
          <w:numId w:val="14"/>
        </w:numPr>
        <w:outlineLvl w:val="0"/>
        <w:rPr>
          <w:rFonts w:ascii="Arial" w:hAnsi="Arial" w:cs="Arial"/>
          <w:b/>
          <w:sz w:val="24"/>
          <w:szCs w:val="24"/>
        </w:rPr>
      </w:pPr>
      <w:r w:rsidRPr="00FC29FA">
        <w:rPr>
          <w:rFonts w:ascii="Arial" w:eastAsia="Times New Roman" w:hAnsi="Arial" w:cs="Arial"/>
          <w:b/>
          <w:color w:val="000000"/>
          <w:sz w:val="24"/>
          <w:szCs w:val="24"/>
          <w:lang w:val="en-US"/>
        </w:rPr>
        <w:t>Potential conflict of Board accountabilities</w:t>
      </w:r>
      <w:r>
        <w:rPr>
          <w:rFonts w:ascii="Arial" w:eastAsia="Times New Roman" w:hAnsi="Arial" w:cs="Arial"/>
          <w:b/>
          <w:color w:val="000000"/>
          <w:sz w:val="24"/>
          <w:szCs w:val="24"/>
          <w:lang w:val="en-US"/>
        </w:rPr>
        <w:t xml:space="preserve"> </w:t>
      </w:r>
      <w:r w:rsidRPr="00FC29FA">
        <w:rPr>
          <w:rFonts w:ascii="Arial" w:eastAsia="Times New Roman" w:hAnsi="Arial" w:cs="Arial"/>
          <w:b/>
          <w:color w:val="000000"/>
          <w:sz w:val="24"/>
          <w:szCs w:val="24"/>
          <w:lang w:val="en-US"/>
        </w:rPr>
        <w:t>relating to executives role on PHS Shadow Executive Group</w:t>
      </w:r>
    </w:p>
    <w:p w:rsidR="00FC29FA" w:rsidRDefault="00FC29FA" w:rsidP="00FC29FA">
      <w:pPr>
        <w:pStyle w:val="ListParagraph"/>
        <w:rPr>
          <w:rFonts w:ascii="Arial" w:hAnsi="Arial" w:cs="Arial"/>
          <w:b/>
          <w:sz w:val="24"/>
          <w:szCs w:val="24"/>
        </w:rPr>
      </w:pPr>
    </w:p>
    <w:p w:rsidR="00FC29FA" w:rsidRDefault="00FC29FA" w:rsidP="00FC29FA">
      <w:pPr>
        <w:pStyle w:val="ListParagraph"/>
        <w:rPr>
          <w:rFonts w:ascii="Arial" w:hAnsi="Arial" w:cs="Arial"/>
          <w:b/>
          <w:sz w:val="24"/>
          <w:szCs w:val="24"/>
        </w:rPr>
      </w:pPr>
      <w:r w:rsidRPr="00FC29FA">
        <w:rPr>
          <w:rFonts w:ascii="Arial" w:eastAsia="Times New Roman" w:hAnsi="Arial" w:cs="Arial"/>
          <w:color w:val="000000"/>
          <w:sz w:val="24"/>
          <w:szCs w:val="24"/>
          <w:lang w:val="en-US"/>
        </w:rPr>
        <w:t>As reported to the Audit Committee</w:t>
      </w:r>
      <w:r>
        <w:rPr>
          <w:rFonts w:ascii="Arial" w:eastAsia="Times New Roman" w:hAnsi="Arial" w:cs="Arial"/>
          <w:color w:val="000000"/>
          <w:sz w:val="24"/>
          <w:szCs w:val="24"/>
          <w:lang w:val="en-US"/>
        </w:rPr>
        <w:t xml:space="preserve"> on 6 September, we have revised risk 18.3 to the new risk 19.3 </w:t>
      </w:r>
      <w:r w:rsidRPr="00A211DB">
        <w:rPr>
          <w:rFonts w:ascii="Arial" w:hAnsi="Arial" w:cs="Arial"/>
          <w:sz w:val="24"/>
          <w:szCs w:val="24"/>
        </w:rPr>
        <w:t>“</w:t>
      </w:r>
      <w:r w:rsidRPr="00A211DB">
        <w:rPr>
          <w:rFonts w:ascii="Arial" w:hAnsi="Arial" w:cs="Arial"/>
          <w:sz w:val="24"/>
          <w:szCs w:val="24"/>
          <w:lang w:val="en-US"/>
        </w:rPr>
        <w:t xml:space="preserve">Risk of a conflict of accountability” </w:t>
      </w:r>
      <w:r w:rsidRPr="00A211DB">
        <w:rPr>
          <w:rFonts w:ascii="Arial" w:hAnsi="Arial" w:cs="Arial"/>
          <w:sz w:val="24"/>
          <w:szCs w:val="24"/>
        </w:rPr>
        <w:t>which is described as “</w:t>
      </w:r>
      <w:r w:rsidRPr="00A211DB">
        <w:rPr>
          <w:rFonts w:ascii="Arial" w:hAnsi="Arial" w:cs="Arial"/>
          <w:sz w:val="24"/>
          <w:szCs w:val="24"/>
          <w:lang w:val="en-US"/>
        </w:rPr>
        <w:t xml:space="preserve">As a result of NHS Health Scotland’s involvement in the shadow executive and governance arrangements for Public Health </w:t>
      </w:r>
      <w:r w:rsidRPr="00FC29FA">
        <w:rPr>
          <w:rFonts w:ascii="Arial" w:eastAsia="Times New Roman" w:hAnsi="Arial" w:cs="Arial"/>
          <w:color w:val="000000"/>
          <w:sz w:val="24"/>
          <w:szCs w:val="24"/>
          <w:lang w:val="en-US"/>
        </w:rPr>
        <w:t xml:space="preserve">Scotland, there is a risk of a conflict of accountability, resulting in liabilities and reputational damage”. A number of </w:t>
      </w:r>
      <w:r>
        <w:rPr>
          <w:rFonts w:ascii="Arial" w:eastAsia="Times New Roman" w:hAnsi="Arial" w:cs="Arial"/>
          <w:color w:val="000000"/>
          <w:sz w:val="24"/>
          <w:szCs w:val="24"/>
          <w:lang w:val="en-US"/>
        </w:rPr>
        <w:t>mitigating actions, including raising the potential conflict o</w:t>
      </w:r>
      <w:r w:rsidR="00DA252A">
        <w:rPr>
          <w:rFonts w:ascii="Arial" w:eastAsia="Times New Roman" w:hAnsi="Arial" w:cs="Arial"/>
          <w:color w:val="000000"/>
          <w:sz w:val="24"/>
          <w:szCs w:val="24"/>
          <w:lang w:val="en-US"/>
        </w:rPr>
        <w:t>f interest at Shadow Executive M</w:t>
      </w:r>
      <w:r>
        <w:rPr>
          <w:rFonts w:ascii="Arial" w:eastAsia="Times New Roman" w:hAnsi="Arial" w:cs="Arial"/>
          <w:color w:val="000000"/>
          <w:sz w:val="24"/>
          <w:szCs w:val="24"/>
          <w:lang w:val="en-US"/>
        </w:rPr>
        <w:t>anagement Team Meetings, and the continuing role of the Board Chair in the Public Health Reform Oversight Board.</w:t>
      </w:r>
    </w:p>
    <w:p w:rsidR="00FC29FA" w:rsidRDefault="00FC29FA" w:rsidP="00FC29FA">
      <w:pPr>
        <w:pStyle w:val="ListParagraph"/>
        <w:rPr>
          <w:rFonts w:ascii="Arial" w:hAnsi="Arial" w:cs="Arial"/>
          <w:b/>
          <w:sz w:val="24"/>
          <w:szCs w:val="24"/>
        </w:rPr>
      </w:pPr>
    </w:p>
    <w:p w:rsidR="00FC29FA" w:rsidRPr="00FC29FA" w:rsidRDefault="00FC29FA" w:rsidP="00FC29FA">
      <w:pPr>
        <w:pStyle w:val="ListParagraph"/>
        <w:numPr>
          <w:ilvl w:val="0"/>
          <w:numId w:val="14"/>
        </w:numPr>
        <w:outlineLvl w:val="0"/>
        <w:rPr>
          <w:rFonts w:ascii="Arial" w:hAnsi="Arial" w:cs="Arial"/>
          <w:b/>
          <w:sz w:val="24"/>
          <w:szCs w:val="24"/>
        </w:rPr>
      </w:pPr>
      <w:r>
        <w:rPr>
          <w:rFonts w:ascii="Arial" w:hAnsi="Arial" w:cs="Arial"/>
          <w:b/>
          <w:sz w:val="24"/>
          <w:szCs w:val="24"/>
        </w:rPr>
        <w:t>Significant Change and Transition Issues</w:t>
      </w:r>
    </w:p>
    <w:p w:rsidR="00FC29FA" w:rsidRPr="00FC29FA" w:rsidRDefault="00FC29FA" w:rsidP="00FC29FA">
      <w:pPr>
        <w:pStyle w:val="ListParagraph"/>
        <w:rPr>
          <w:rFonts w:ascii="Arial" w:hAnsi="Arial" w:cs="Arial"/>
          <w:b/>
          <w:sz w:val="24"/>
          <w:szCs w:val="24"/>
        </w:rPr>
      </w:pPr>
    </w:p>
    <w:p w:rsidR="001547F5" w:rsidRDefault="00FC29FA" w:rsidP="00FC29FA">
      <w:pPr>
        <w:pStyle w:val="ListParagraph"/>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Following the recruitment process noted in the Change and Transition report by the Director of Strategy, confirmation was received on 19 September that </w:t>
      </w:r>
      <w:r w:rsidR="001547F5">
        <w:rPr>
          <w:rFonts w:ascii="Arial" w:eastAsia="Times New Roman" w:hAnsi="Arial" w:cs="Arial"/>
          <w:color w:val="000000"/>
          <w:sz w:val="24"/>
          <w:szCs w:val="24"/>
          <w:lang w:val="en-US"/>
        </w:rPr>
        <w:t xml:space="preserve">   </w:t>
      </w:r>
    </w:p>
    <w:p w:rsidR="00FC29FA" w:rsidRDefault="001547F5" w:rsidP="00FC29FA">
      <w:pPr>
        <w:pStyle w:val="ListParagraph"/>
        <w:spacing w:after="0" w:line="240" w:lineRule="auto"/>
        <w:rPr>
          <w:rFonts w:ascii="Arial" w:eastAsia="Times New Roman" w:hAnsi="Arial" w:cs="Arial"/>
          <w:color w:val="000000"/>
          <w:sz w:val="24"/>
          <w:szCs w:val="24"/>
          <w:lang w:val="en-US"/>
        </w:rPr>
      </w:pPr>
      <w:r>
        <w:rPr>
          <w:rFonts w:ascii="Arial" w:hAnsi="Arial" w:cs="Arial"/>
          <w:sz w:val="24"/>
          <w:szCs w:val="24"/>
        </w:rPr>
        <w:t>Angela Leitch, currently Chief Executive of East Lothian Council</w:t>
      </w:r>
      <w:r w:rsidR="004B76D7">
        <w:rPr>
          <w:rFonts w:ascii="Arial" w:hAnsi="Arial" w:cs="Arial"/>
          <w:sz w:val="24"/>
          <w:szCs w:val="24"/>
        </w:rPr>
        <w:t>,</w:t>
      </w:r>
      <w:r w:rsidR="00FC29FA">
        <w:rPr>
          <w:rFonts w:ascii="Arial" w:eastAsia="Times New Roman" w:hAnsi="Arial" w:cs="Arial"/>
          <w:color w:val="000000"/>
          <w:sz w:val="24"/>
          <w:szCs w:val="24"/>
          <w:lang w:val="en-US"/>
        </w:rPr>
        <w:t xml:space="preserve"> has been appointed as the first Chief Executive of Public Health Scotland.  All other key change and transition issues are captured in the report by the Director of Strategy.</w:t>
      </w:r>
    </w:p>
    <w:p w:rsidR="00FC29FA" w:rsidRPr="00FC29FA" w:rsidRDefault="00FC29FA" w:rsidP="00FC29FA">
      <w:pPr>
        <w:pStyle w:val="ListParagraph"/>
        <w:spacing w:after="0" w:line="240" w:lineRule="auto"/>
        <w:rPr>
          <w:rFonts w:ascii="Arial" w:eastAsia="Times New Roman" w:hAnsi="Arial" w:cs="Arial"/>
          <w:color w:val="000000"/>
          <w:sz w:val="24"/>
          <w:szCs w:val="24"/>
          <w:lang w:val="en-US"/>
        </w:rPr>
      </w:pPr>
    </w:p>
    <w:p w:rsidR="00665A7B" w:rsidRDefault="00FC29FA" w:rsidP="00C72CF0">
      <w:pPr>
        <w:pStyle w:val="ListParagraph"/>
        <w:numPr>
          <w:ilvl w:val="0"/>
          <w:numId w:val="14"/>
        </w:numPr>
        <w:rPr>
          <w:rFonts w:ascii="Arial" w:hAnsi="Arial" w:cs="Arial"/>
          <w:b/>
          <w:color w:val="000000"/>
          <w:sz w:val="24"/>
          <w:szCs w:val="24"/>
        </w:rPr>
      </w:pPr>
      <w:r>
        <w:rPr>
          <w:rFonts w:ascii="Arial" w:hAnsi="Arial" w:cs="Arial"/>
          <w:b/>
          <w:color w:val="000000"/>
          <w:sz w:val="24"/>
          <w:szCs w:val="24"/>
        </w:rPr>
        <w:t>Scottish Women of the Year Awards 2019</w:t>
      </w:r>
    </w:p>
    <w:p w:rsidR="00665A7B" w:rsidRDefault="00665A7B" w:rsidP="00665A7B">
      <w:pPr>
        <w:pStyle w:val="ListParagraph"/>
        <w:rPr>
          <w:rFonts w:ascii="Arial" w:hAnsi="Arial" w:cs="Arial"/>
          <w:b/>
          <w:color w:val="000000"/>
          <w:sz w:val="24"/>
          <w:szCs w:val="24"/>
        </w:rPr>
      </w:pPr>
    </w:p>
    <w:p w:rsidR="00FC29FA" w:rsidRPr="00FC29FA" w:rsidRDefault="00FC29FA" w:rsidP="00665A7B">
      <w:pPr>
        <w:pStyle w:val="ListParagraph"/>
        <w:rPr>
          <w:rFonts w:ascii="Arial" w:hAnsi="Arial" w:cs="Arial"/>
          <w:color w:val="000000"/>
          <w:sz w:val="24"/>
          <w:szCs w:val="24"/>
        </w:rPr>
      </w:pPr>
      <w:r>
        <w:rPr>
          <w:rFonts w:ascii="Arial" w:hAnsi="Arial" w:cs="Arial"/>
          <w:color w:val="000000"/>
          <w:sz w:val="24"/>
          <w:szCs w:val="24"/>
        </w:rPr>
        <w:t xml:space="preserve">I am delighted to advise the Board that having been nominated </w:t>
      </w:r>
      <w:r w:rsidRPr="00FC29FA">
        <w:rPr>
          <w:rFonts w:ascii="Arial" w:hAnsi="Arial" w:cs="Arial"/>
          <w:color w:val="000000"/>
          <w:sz w:val="24"/>
          <w:szCs w:val="24"/>
        </w:rPr>
        <w:t xml:space="preserve">as a finalist at </w:t>
      </w:r>
      <w:r w:rsidR="004B76D7">
        <w:rPr>
          <w:rFonts w:ascii="Arial" w:hAnsi="Arial" w:cs="Arial"/>
          <w:color w:val="000000"/>
          <w:sz w:val="24"/>
          <w:szCs w:val="24"/>
        </w:rPr>
        <w:t>the</w:t>
      </w:r>
      <w:r w:rsidRPr="00FC29FA">
        <w:rPr>
          <w:rFonts w:ascii="Arial" w:hAnsi="Arial" w:cs="Arial"/>
          <w:color w:val="000000"/>
          <w:sz w:val="24"/>
          <w:szCs w:val="24"/>
        </w:rPr>
        <w:t xml:space="preserve"> </w:t>
      </w:r>
      <w:hyperlink r:id="rId11" w:history="1">
        <w:r w:rsidRPr="00FC29FA">
          <w:rPr>
            <w:rFonts w:ascii="Arial" w:hAnsi="Arial" w:cs="Arial"/>
            <w:color w:val="000000"/>
            <w:sz w:val="24"/>
            <w:szCs w:val="24"/>
          </w:rPr>
          <w:t>Scottish Women's Awards</w:t>
        </w:r>
      </w:hyperlink>
      <w:r w:rsidRPr="00FC29FA">
        <w:rPr>
          <w:rFonts w:ascii="Arial" w:hAnsi="Arial" w:cs="Arial"/>
          <w:color w:val="000000"/>
          <w:sz w:val="24"/>
          <w:szCs w:val="24"/>
        </w:rPr>
        <w:t>, Cath Denholm</w:t>
      </w:r>
      <w:r>
        <w:rPr>
          <w:rFonts w:ascii="Arial" w:hAnsi="Arial" w:cs="Arial"/>
          <w:color w:val="000000"/>
          <w:sz w:val="24"/>
          <w:szCs w:val="24"/>
        </w:rPr>
        <w:t>, Director of Strategy,</w:t>
      </w:r>
      <w:r w:rsidRPr="00FC29FA">
        <w:rPr>
          <w:rFonts w:ascii="Arial" w:hAnsi="Arial" w:cs="Arial"/>
          <w:color w:val="000000"/>
          <w:sz w:val="24"/>
          <w:szCs w:val="24"/>
        </w:rPr>
        <w:t xml:space="preserve"> was announced as the winner of the Contribution to the Civil Service award.</w:t>
      </w:r>
      <w:r>
        <w:rPr>
          <w:rFonts w:ascii="Arial" w:hAnsi="Arial" w:cs="Arial"/>
          <w:color w:val="000000"/>
          <w:sz w:val="24"/>
          <w:szCs w:val="24"/>
        </w:rPr>
        <w:t xml:space="preserve">  </w:t>
      </w:r>
    </w:p>
    <w:p w:rsidR="00186847" w:rsidRDefault="00186847" w:rsidP="00186847">
      <w:pPr>
        <w:pStyle w:val="ListParagraph"/>
        <w:rPr>
          <w:rFonts w:ascii="Arial" w:hAnsi="Arial" w:cs="Arial"/>
          <w:b/>
          <w:color w:val="000000"/>
          <w:sz w:val="24"/>
          <w:szCs w:val="24"/>
        </w:rPr>
      </w:pPr>
    </w:p>
    <w:p w:rsidR="00186847" w:rsidRDefault="00186847" w:rsidP="00186847">
      <w:pPr>
        <w:pStyle w:val="ListParagraph"/>
        <w:numPr>
          <w:ilvl w:val="0"/>
          <w:numId w:val="14"/>
        </w:numPr>
        <w:rPr>
          <w:rFonts w:ascii="Arial" w:hAnsi="Arial" w:cs="Arial"/>
          <w:b/>
          <w:color w:val="000000"/>
          <w:sz w:val="24"/>
          <w:szCs w:val="24"/>
        </w:rPr>
      </w:pPr>
      <w:r w:rsidRPr="00186847">
        <w:rPr>
          <w:rFonts w:ascii="Arial" w:hAnsi="Arial" w:cs="Arial"/>
          <w:b/>
          <w:color w:val="000000"/>
          <w:sz w:val="24"/>
          <w:szCs w:val="24"/>
        </w:rPr>
        <w:t>Gypsy Traveller Health &amp; Social Care S</w:t>
      </w:r>
      <w:r w:rsidR="00FC29FA">
        <w:rPr>
          <w:rFonts w:ascii="Arial" w:hAnsi="Arial" w:cs="Arial"/>
          <w:b/>
          <w:color w:val="000000"/>
          <w:sz w:val="24"/>
          <w:szCs w:val="24"/>
        </w:rPr>
        <w:t>hort Life Working Group (S</w:t>
      </w:r>
      <w:r w:rsidRPr="00186847">
        <w:rPr>
          <w:rFonts w:ascii="Arial" w:hAnsi="Arial" w:cs="Arial"/>
          <w:b/>
          <w:color w:val="000000"/>
          <w:sz w:val="24"/>
          <w:szCs w:val="24"/>
        </w:rPr>
        <w:t>LWG</w:t>
      </w:r>
      <w:r w:rsidR="00FC29FA">
        <w:rPr>
          <w:rFonts w:ascii="Arial" w:hAnsi="Arial" w:cs="Arial"/>
          <w:b/>
          <w:color w:val="000000"/>
          <w:sz w:val="24"/>
          <w:szCs w:val="24"/>
        </w:rPr>
        <w:t>)</w:t>
      </w:r>
      <w:r>
        <w:rPr>
          <w:rFonts w:ascii="Arial" w:hAnsi="Arial" w:cs="Arial"/>
          <w:b/>
          <w:color w:val="000000"/>
          <w:sz w:val="24"/>
          <w:szCs w:val="24"/>
        </w:rPr>
        <w:t xml:space="preserve">, </w:t>
      </w:r>
    </w:p>
    <w:p w:rsidR="00186847" w:rsidRDefault="00186847" w:rsidP="00186847">
      <w:pPr>
        <w:pStyle w:val="ListParagraph"/>
        <w:rPr>
          <w:rFonts w:ascii="Arial" w:hAnsi="Arial" w:cs="Arial"/>
          <w:b/>
          <w:color w:val="000000"/>
          <w:sz w:val="24"/>
          <w:szCs w:val="24"/>
        </w:rPr>
      </w:pPr>
    </w:p>
    <w:p w:rsidR="00FC29FA" w:rsidRDefault="00FC29FA" w:rsidP="00186847">
      <w:pPr>
        <w:pStyle w:val="ListParagraph"/>
        <w:rPr>
          <w:rFonts w:ascii="Arial" w:hAnsi="Arial" w:cs="Arial"/>
          <w:b/>
          <w:color w:val="000000"/>
          <w:sz w:val="24"/>
          <w:szCs w:val="24"/>
        </w:rPr>
      </w:pPr>
      <w:r w:rsidRPr="0059261A">
        <w:rPr>
          <w:rFonts w:ascii="Arial" w:hAnsi="Arial" w:cs="Arial"/>
          <w:sz w:val="24"/>
          <w:szCs w:val="24"/>
        </w:rPr>
        <w:t>NHS Board Chief Executives have remitted the Scottish Directors of Public Health to lead a short life working group to respond to the challenges of implementing the National Gypsy Traveller Health and Social Care Delivery Plan 201</w:t>
      </w:r>
      <w:r>
        <w:rPr>
          <w:rFonts w:ascii="Arial" w:hAnsi="Arial" w:cs="Arial"/>
          <w:sz w:val="24"/>
          <w:szCs w:val="24"/>
        </w:rPr>
        <w:t xml:space="preserve">9 </w:t>
      </w:r>
      <w:r w:rsidRPr="0059261A">
        <w:rPr>
          <w:rFonts w:ascii="Arial" w:hAnsi="Arial" w:cs="Arial"/>
          <w:sz w:val="24"/>
          <w:szCs w:val="24"/>
        </w:rPr>
        <w:t>-</w:t>
      </w:r>
      <w:r>
        <w:rPr>
          <w:rFonts w:ascii="Arial" w:hAnsi="Arial" w:cs="Arial"/>
          <w:sz w:val="24"/>
          <w:szCs w:val="24"/>
        </w:rPr>
        <w:t xml:space="preserve"> </w:t>
      </w:r>
      <w:r w:rsidRPr="0059261A">
        <w:rPr>
          <w:rFonts w:ascii="Arial" w:hAnsi="Arial" w:cs="Arial"/>
          <w:sz w:val="24"/>
          <w:szCs w:val="24"/>
        </w:rPr>
        <w:t>20.</w:t>
      </w:r>
      <w:r>
        <w:rPr>
          <w:rFonts w:ascii="Arial" w:hAnsi="Arial" w:cs="Arial"/>
          <w:sz w:val="24"/>
          <w:szCs w:val="24"/>
        </w:rPr>
        <w:t xml:space="preserve">  I attended the first meeting of this SLWG which will focus on the equality of opportunity for all Scotland’s Gypsy Travellers to good health and well-being, ensuring their </w:t>
      </w:r>
      <w:r>
        <w:rPr>
          <w:rFonts w:ascii="Arial" w:hAnsi="Arial"/>
          <w:sz w:val="24"/>
        </w:rPr>
        <w:t xml:space="preserve">rights, to use health and social care services, are protected and promoted.  </w:t>
      </w:r>
    </w:p>
    <w:p w:rsidR="00FC29FA" w:rsidRDefault="00FC29FA" w:rsidP="00186847">
      <w:pPr>
        <w:pStyle w:val="ListParagraph"/>
        <w:rPr>
          <w:rFonts w:ascii="Arial" w:hAnsi="Arial" w:cs="Arial"/>
          <w:b/>
          <w:color w:val="000000"/>
          <w:sz w:val="24"/>
          <w:szCs w:val="24"/>
        </w:rPr>
      </w:pPr>
    </w:p>
    <w:p w:rsidR="00186847" w:rsidRDefault="00186847" w:rsidP="00186847">
      <w:pPr>
        <w:pStyle w:val="ListParagraph"/>
        <w:numPr>
          <w:ilvl w:val="0"/>
          <w:numId w:val="14"/>
        </w:numPr>
        <w:rPr>
          <w:rFonts w:ascii="Arial" w:hAnsi="Arial" w:cs="Arial"/>
          <w:b/>
          <w:color w:val="000000"/>
          <w:sz w:val="24"/>
          <w:szCs w:val="24"/>
        </w:rPr>
      </w:pPr>
      <w:r>
        <w:rPr>
          <w:rFonts w:ascii="Arial" w:hAnsi="Arial" w:cs="Arial"/>
          <w:b/>
          <w:color w:val="000000"/>
          <w:sz w:val="24"/>
          <w:szCs w:val="24"/>
        </w:rPr>
        <w:lastRenderedPageBreak/>
        <w:t>Turnbull High School, 16 September 2019</w:t>
      </w:r>
    </w:p>
    <w:p w:rsidR="00DA1193" w:rsidRDefault="00FC29FA" w:rsidP="008328D9">
      <w:pPr>
        <w:pStyle w:val="ListParagraph"/>
        <w:spacing w:after="0"/>
        <w:rPr>
          <w:rFonts w:ascii="Arial" w:hAnsi="Arial" w:cs="Arial"/>
          <w:color w:val="000000"/>
          <w:sz w:val="24"/>
          <w:szCs w:val="24"/>
        </w:rPr>
      </w:pPr>
      <w:r>
        <w:rPr>
          <w:rFonts w:ascii="Arial" w:hAnsi="Arial" w:cs="Arial"/>
          <w:color w:val="000000"/>
          <w:sz w:val="24"/>
          <w:szCs w:val="24"/>
        </w:rPr>
        <w:t xml:space="preserve">As part of the national programme of Speakers4Schools to which NHS Board </w:t>
      </w:r>
      <w:r w:rsidR="004B76D7">
        <w:rPr>
          <w:rFonts w:ascii="Arial" w:hAnsi="Arial" w:cs="Arial"/>
          <w:color w:val="000000"/>
          <w:sz w:val="24"/>
          <w:szCs w:val="24"/>
        </w:rPr>
        <w:t>C</w:t>
      </w:r>
      <w:r>
        <w:rPr>
          <w:rFonts w:ascii="Arial" w:hAnsi="Arial" w:cs="Arial"/>
          <w:color w:val="000000"/>
          <w:sz w:val="24"/>
          <w:szCs w:val="24"/>
        </w:rPr>
        <w:t>hief Executives were invited to contribute I spoke to approximately 100 S1 to S6 pupils at Turnbull High School on Careers, the National Health Service, and population health with a focus on health inequalities.</w:t>
      </w:r>
    </w:p>
    <w:p w:rsidR="00FC29FA" w:rsidRPr="00DA1193" w:rsidRDefault="00FC29FA" w:rsidP="008328D9">
      <w:pPr>
        <w:pStyle w:val="ListParagraph"/>
        <w:spacing w:after="0"/>
        <w:rPr>
          <w:rFonts w:ascii="Arial" w:hAnsi="Arial" w:cs="Arial"/>
          <w:color w:val="000000"/>
          <w:sz w:val="24"/>
          <w:szCs w:val="24"/>
        </w:rPr>
      </w:pPr>
    </w:p>
    <w:p w:rsidR="00A675CD" w:rsidRPr="005E0E75" w:rsidRDefault="00E8122E" w:rsidP="00C72CF0">
      <w:pPr>
        <w:rPr>
          <w:rFonts w:ascii="Arial" w:hAnsi="Arial" w:cs="Arial"/>
          <w:b/>
          <w:sz w:val="24"/>
          <w:szCs w:val="24"/>
        </w:rPr>
      </w:pPr>
      <w:r>
        <w:rPr>
          <w:rFonts w:ascii="Arial" w:hAnsi="Arial" w:cs="Arial"/>
          <w:b/>
          <w:sz w:val="24"/>
          <w:szCs w:val="24"/>
        </w:rPr>
        <w:t>9</w:t>
      </w:r>
      <w:r w:rsidR="00C72CF0">
        <w:rPr>
          <w:rFonts w:ascii="Arial" w:hAnsi="Arial" w:cs="Arial"/>
          <w:b/>
          <w:sz w:val="24"/>
          <w:szCs w:val="24"/>
        </w:rPr>
        <w:t>.</w:t>
      </w:r>
      <w:r w:rsidR="00C72CF0">
        <w:rPr>
          <w:rFonts w:ascii="Arial" w:hAnsi="Arial" w:cs="Arial"/>
          <w:b/>
          <w:sz w:val="24"/>
          <w:szCs w:val="24"/>
        </w:rPr>
        <w:tab/>
      </w:r>
      <w:r w:rsidR="00473FD5" w:rsidRPr="005E0E75">
        <w:rPr>
          <w:rFonts w:ascii="Arial" w:hAnsi="Arial" w:cs="Arial"/>
          <w:b/>
          <w:sz w:val="24"/>
          <w:szCs w:val="24"/>
        </w:rPr>
        <w:t>Complaints</w:t>
      </w:r>
      <w:r w:rsidR="005D135B" w:rsidRPr="005E0E75">
        <w:rPr>
          <w:rFonts w:ascii="Arial" w:hAnsi="Arial" w:cs="Arial"/>
          <w:b/>
          <w:sz w:val="24"/>
          <w:szCs w:val="24"/>
        </w:rPr>
        <w:t xml:space="preserve"> </w:t>
      </w:r>
    </w:p>
    <w:p w:rsidR="001547F5" w:rsidRDefault="001547F5" w:rsidP="001547F5">
      <w:pPr>
        <w:ind w:left="720"/>
        <w:rPr>
          <w:rFonts w:ascii="Arial" w:hAnsi="Arial" w:cs="Arial"/>
          <w:color w:val="000000"/>
          <w:sz w:val="24"/>
          <w:szCs w:val="24"/>
        </w:rPr>
      </w:pPr>
      <w:r>
        <w:rPr>
          <w:rFonts w:ascii="Arial" w:hAnsi="Arial" w:cs="Arial"/>
          <w:color w:val="000000"/>
          <w:sz w:val="24"/>
          <w:szCs w:val="24"/>
        </w:rPr>
        <w:t>From 13 June to 19 September 2019 we received 18 complaints or concerns intended for other health bodies and 1 concern regarding an NHS Health Scotland report.</w:t>
      </w:r>
    </w:p>
    <w:p w:rsidR="001547F5" w:rsidRDefault="001547F5" w:rsidP="001547F5">
      <w:pPr>
        <w:ind w:left="720"/>
        <w:rPr>
          <w:rFonts w:ascii="Arial" w:hAnsi="Arial" w:cs="Arial"/>
          <w:color w:val="000000"/>
          <w:sz w:val="24"/>
          <w:szCs w:val="24"/>
        </w:rPr>
      </w:pPr>
    </w:p>
    <w:p w:rsidR="001547F5" w:rsidRDefault="001547F5" w:rsidP="001547F5">
      <w:pPr>
        <w:ind w:left="720"/>
        <w:rPr>
          <w:rFonts w:ascii="Arial" w:hAnsi="Arial" w:cs="Arial"/>
          <w:color w:val="000000"/>
          <w:sz w:val="24"/>
          <w:szCs w:val="24"/>
        </w:rPr>
      </w:pPr>
      <w:r>
        <w:rPr>
          <w:rFonts w:ascii="Arial" w:hAnsi="Arial" w:cs="Arial"/>
          <w:color w:val="000000"/>
          <w:sz w:val="24"/>
          <w:szCs w:val="24"/>
        </w:rPr>
        <w:t>In August someone raised a concern with us about the wording in our report on “Interventions to improve engagement with immunisation programmes in selected underserved populations”.  We listened to their concerns and agreed to some minor revisions to the wording of the report, which they were satisfied with.</w:t>
      </w:r>
    </w:p>
    <w:p w:rsidR="000C1806" w:rsidRPr="00674AAC" w:rsidRDefault="000C1806" w:rsidP="000C1806">
      <w:pPr>
        <w:pStyle w:val="ListParagraph"/>
        <w:spacing w:after="0"/>
        <w:rPr>
          <w:rFonts w:ascii="Arial" w:hAnsi="Arial" w:cs="Arial"/>
          <w:color w:val="000000"/>
          <w:sz w:val="24"/>
          <w:szCs w:val="24"/>
        </w:rPr>
      </w:pPr>
    </w:p>
    <w:p w:rsidR="00F04EEE" w:rsidRPr="005E0E75" w:rsidRDefault="00E8122E" w:rsidP="00C72CF0">
      <w:pPr>
        <w:tabs>
          <w:tab w:val="left" w:pos="630"/>
        </w:tabs>
        <w:rPr>
          <w:rFonts w:ascii="Arial" w:hAnsi="Arial" w:cs="Arial"/>
          <w:sz w:val="24"/>
          <w:szCs w:val="24"/>
        </w:rPr>
      </w:pPr>
      <w:r>
        <w:rPr>
          <w:rFonts w:ascii="Arial" w:hAnsi="Arial" w:cs="Arial"/>
          <w:b/>
          <w:color w:val="000000"/>
          <w:sz w:val="24"/>
          <w:szCs w:val="24"/>
        </w:rPr>
        <w:t>10</w:t>
      </w:r>
      <w:r w:rsidR="00C72CF0" w:rsidRPr="00C72CF0">
        <w:rPr>
          <w:rFonts w:ascii="Arial" w:hAnsi="Arial" w:cs="Arial"/>
          <w:b/>
          <w:color w:val="000000"/>
          <w:sz w:val="24"/>
          <w:szCs w:val="24"/>
        </w:rPr>
        <w:t>.</w:t>
      </w:r>
      <w:r w:rsidR="00C72CF0">
        <w:rPr>
          <w:rFonts w:ascii="Arial" w:hAnsi="Arial" w:cs="Arial"/>
          <w:color w:val="000000"/>
          <w:sz w:val="24"/>
          <w:szCs w:val="24"/>
        </w:rPr>
        <w:tab/>
      </w:r>
      <w:r w:rsidR="0001655C">
        <w:rPr>
          <w:rFonts w:ascii="Arial" w:hAnsi="Arial" w:cs="Arial"/>
          <w:color w:val="000000"/>
          <w:sz w:val="24"/>
          <w:szCs w:val="24"/>
        </w:rPr>
        <w:t xml:space="preserve"> </w:t>
      </w:r>
      <w:r w:rsidR="00F04EEE" w:rsidRPr="005E0E75">
        <w:rPr>
          <w:rFonts w:ascii="Arial" w:hAnsi="Arial" w:cs="Arial"/>
          <w:b/>
          <w:sz w:val="24"/>
          <w:szCs w:val="24"/>
        </w:rPr>
        <w:t xml:space="preserve">Finance and Resource Implications </w:t>
      </w:r>
    </w:p>
    <w:p w:rsidR="005E0E75" w:rsidRDefault="005E0E75" w:rsidP="005E0E75">
      <w:pPr>
        <w:tabs>
          <w:tab w:val="left" w:pos="630"/>
        </w:tabs>
        <w:rPr>
          <w:rFonts w:ascii="Arial" w:hAnsi="Arial" w:cs="Arial"/>
          <w:sz w:val="24"/>
          <w:szCs w:val="24"/>
        </w:rPr>
      </w:pPr>
      <w:r>
        <w:rPr>
          <w:rFonts w:ascii="Arial" w:hAnsi="Arial" w:cs="Arial"/>
          <w:sz w:val="24"/>
          <w:szCs w:val="24"/>
        </w:rPr>
        <w:tab/>
      </w:r>
      <w:r w:rsidR="0001655C">
        <w:rPr>
          <w:rFonts w:ascii="Arial" w:hAnsi="Arial" w:cs="Arial"/>
          <w:sz w:val="24"/>
          <w:szCs w:val="24"/>
        </w:rPr>
        <w:t xml:space="preserve"> </w:t>
      </w:r>
      <w:r w:rsidR="009537BF" w:rsidRPr="005E0E75">
        <w:rPr>
          <w:rFonts w:ascii="Arial" w:hAnsi="Arial" w:cs="Arial"/>
          <w:sz w:val="24"/>
          <w:szCs w:val="24"/>
        </w:rPr>
        <w:t>Th</w:t>
      </w:r>
      <w:r w:rsidR="0078426F" w:rsidRPr="005E0E75">
        <w:rPr>
          <w:rFonts w:ascii="Arial" w:hAnsi="Arial" w:cs="Arial"/>
          <w:sz w:val="24"/>
          <w:szCs w:val="24"/>
        </w:rPr>
        <w:t xml:space="preserve">ere </w:t>
      </w:r>
      <w:r w:rsidR="00A675CD" w:rsidRPr="005E0E75">
        <w:rPr>
          <w:rFonts w:ascii="Arial" w:hAnsi="Arial" w:cs="Arial"/>
          <w:sz w:val="24"/>
          <w:szCs w:val="24"/>
        </w:rPr>
        <w:t xml:space="preserve">are no </w:t>
      </w:r>
      <w:r w:rsidR="0078426F" w:rsidRPr="005E0E75">
        <w:rPr>
          <w:rFonts w:ascii="Arial" w:hAnsi="Arial" w:cs="Arial"/>
          <w:sz w:val="24"/>
          <w:szCs w:val="24"/>
        </w:rPr>
        <w:t xml:space="preserve">specific </w:t>
      </w:r>
      <w:r w:rsidR="00A675CD" w:rsidRPr="005E0E75">
        <w:rPr>
          <w:rFonts w:ascii="Arial" w:hAnsi="Arial" w:cs="Arial"/>
          <w:sz w:val="24"/>
          <w:szCs w:val="24"/>
        </w:rPr>
        <w:t xml:space="preserve">finance and resource implications as such arising from </w:t>
      </w:r>
    </w:p>
    <w:p w:rsidR="00A675CD" w:rsidRDefault="005E0E75" w:rsidP="005E0E75">
      <w:pPr>
        <w:tabs>
          <w:tab w:val="left" w:pos="630"/>
        </w:tabs>
        <w:rPr>
          <w:rFonts w:ascii="Arial" w:hAnsi="Arial" w:cs="Arial"/>
          <w:sz w:val="24"/>
          <w:szCs w:val="24"/>
        </w:rPr>
      </w:pPr>
      <w:r>
        <w:rPr>
          <w:rFonts w:ascii="Arial" w:hAnsi="Arial" w:cs="Arial"/>
          <w:sz w:val="24"/>
          <w:szCs w:val="24"/>
        </w:rPr>
        <w:tab/>
      </w:r>
      <w:r w:rsidR="0001655C">
        <w:rPr>
          <w:rFonts w:ascii="Arial" w:hAnsi="Arial" w:cs="Arial"/>
          <w:sz w:val="24"/>
          <w:szCs w:val="24"/>
        </w:rPr>
        <w:t xml:space="preserve"> </w:t>
      </w:r>
      <w:proofErr w:type="gramStart"/>
      <w:r w:rsidR="00A675CD" w:rsidRPr="005E0E75">
        <w:rPr>
          <w:rFonts w:ascii="Arial" w:hAnsi="Arial" w:cs="Arial"/>
          <w:sz w:val="24"/>
          <w:szCs w:val="24"/>
        </w:rPr>
        <w:t>this</w:t>
      </w:r>
      <w:proofErr w:type="gramEnd"/>
      <w:r w:rsidR="0078426F" w:rsidRPr="005E0E75">
        <w:rPr>
          <w:rFonts w:ascii="Arial" w:hAnsi="Arial" w:cs="Arial"/>
          <w:sz w:val="24"/>
          <w:szCs w:val="24"/>
        </w:rPr>
        <w:t xml:space="preserve"> </w:t>
      </w:r>
      <w:r w:rsidR="00A675CD" w:rsidRPr="005E0E75">
        <w:rPr>
          <w:rFonts w:ascii="Arial" w:hAnsi="Arial" w:cs="Arial"/>
          <w:sz w:val="24"/>
          <w:szCs w:val="24"/>
        </w:rPr>
        <w:t>paper.</w:t>
      </w:r>
    </w:p>
    <w:p w:rsidR="00FB7983" w:rsidRPr="005E0E75" w:rsidRDefault="00FB7983" w:rsidP="005E0E75">
      <w:pPr>
        <w:tabs>
          <w:tab w:val="left" w:pos="630"/>
        </w:tabs>
        <w:rPr>
          <w:rFonts w:ascii="Arial" w:hAnsi="Arial" w:cs="Arial"/>
          <w:sz w:val="24"/>
          <w:szCs w:val="24"/>
        </w:rPr>
      </w:pPr>
    </w:p>
    <w:p w:rsidR="00463D5C" w:rsidRPr="00C84D5C" w:rsidRDefault="00E8122E" w:rsidP="00CF4B55">
      <w:pPr>
        <w:rPr>
          <w:rFonts w:ascii="Arial" w:hAnsi="Arial" w:cs="Arial"/>
          <w:b/>
          <w:sz w:val="24"/>
          <w:szCs w:val="24"/>
        </w:rPr>
      </w:pPr>
      <w:r>
        <w:rPr>
          <w:rFonts w:ascii="Arial" w:hAnsi="Arial" w:cs="Arial"/>
          <w:b/>
          <w:sz w:val="24"/>
          <w:szCs w:val="24"/>
        </w:rPr>
        <w:t>11</w:t>
      </w:r>
      <w:r w:rsidR="0001655C">
        <w:rPr>
          <w:rFonts w:ascii="Arial" w:hAnsi="Arial" w:cs="Arial"/>
          <w:sz w:val="24"/>
          <w:szCs w:val="24"/>
        </w:rPr>
        <w:t>.</w:t>
      </w:r>
      <w:r w:rsidR="00FB7983">
        <w:rPr>
          <w:rFonts w:ascii="Arial" w:hAnsi="Arial" w:cs="Arial"/>
          <w:sz w:val="24"/>
          <w:szCs w:val="24"/>
        </w:rPr>
        <w:t xml:space="preserve">     </w:t>
      </w:r>
      <w:r w:rsidR="00463D5C" w:rsidRPr="00C84D5C">
        <w:rPr>
          <w:rFonts w:ascii="Arial" w:hAnsi="Arial" w:cs="Arial"/>
          <w:b/>
          <w:sz w:val="24"/>
          <w:szCs w:val="24"/>
        </w:rPr>
        <w:t xml:space="preserve">Staff Partnership </w:t>
      </w:r>
    </w:p>
    <w:p w:rsidR="00A675CD" w:rsidRDefault="0001655C" w:rsidP="0001655C">
      <w:pPr>
        <w:jc w:val="both"/>
        <w:rPr>
          <w:rFonts w:ascii="Arial" w:hAnsi="Arial" w:cs="Arial"/>
          <w:sz w:val="24"/>
          <w:szCs w:val="24"/>
        </w:rPr>
      </w:pPr>
      <w:r>
        <w:rPr>
          <w:rFonts w:ascii="Arial" w:hAnsi="Arial" w:cs="Arial"/>
          <w:sz w:val="24"/>
          <w:szCs w:val="24"/>
        </w:rPr>
        <w:t xml:space="preserve">          </w:t>
      </w:r>
      <w:r w:rsidR="00A675CD" w:rsidRPr="0001655C">
        <w:rPr>
          <w:rFonts w:ascii="Arial" w:hAnsi="Arial" w:cs="Arial"/>
          <w:sz w:val="24"/>
          <w:szCs w:val="24"/>
        </w:rPr>
        <w:t xml:space="preserve">There are no partnership issues which are not addressed through other relevant </w:t>
      </w:r>
    </w:p>
    <w:p w:rsidR="00A675CD" w:rsidRDefault="00A675CD" w:rsidP="00A675CD">
      <w:pPr>
        <w:jc w:val="both"/>
        <w:rPr>
          <w:rFonts w:ascii="Arial" w:hAnsi="Arial" w:cs="Arial"/>
          <w:sz w:val="24"/>
          <w:szCs w:val="24"/>
        </w:rPr>
      </w:pPr>
      <w:r>
        <w:rPr>
          <w:rFonts w:ascii="Arial" w:hAnsi="Arial" w:cs="Arial"/>
          <w:sz w:val="24"/>
          <w:szCs w:val="24"/>
        </w:rPr>
        <w:t xml:space="preserve"> </w:t>
      </w:r>
      <w:r w:rsidR="0001655C">
        <w:rPr>
          <w:rFonts w:ascii="Arial" w:hAnsi="Arial" w:cs="Arial"/>
          <w:sz w:val="24"/>
          <w:szCs w:val="24"/>
        </w:rPr>
        <w:t xml:space="preserve">         </w:t>
      </w:r>
      <w:proofErr w:type="gramStart"/>
      <w:r w:rsidRPr="00507CD5">
        <w:rPr>
          <w:rFonts w:ascii="Arial" w:hAnsi="Arial" w:cs="Arial"/>
          <w:sz w:val="24"/>
          <w:szCs w:val="24"/>
        </w:rPr>
        <w:t>plans</w:t>
      </w:r>
      <w:proofErr w:type="gramEnd"/>
      <w:r w:rsidRPr="00507CD5">
        <w:rPr>
          <w:rFonts w:ascii="Arial" w:hAnsi="Arial" w:cs="Arial"/>
          <w:sz w:val="24"/>
          <w:szCs w:val="24"/>
        </w:rPr>
        <w:t>.</w:t>
      </w:r>
    </w:p>
    <w:p w:rsidR="00C72CF0" w:rsidRPr="00507CD5" w:rsidRDefault="00C72CF0" w:rsidP="00A675CD">
      <w:pPr>
        <w:jc w:val="both"/>
        <w:rPr>
          <w:rFonts w:ascii="Arial" w:hAnsi="Arial" w:cs="Arial"/>
          <w:sz w:val="24"/>
          <w:szCs w:val="24"/>
        </w:rPr>
      </w:pPr>
    </w:p>
    <w:p w:rsidR="00463D5C" w:rsidRPr="00C84D5C" w:rsidRDefault="00F87442" w:rsidP="00CF4B55">
      <w:pPr>
        <w:rPr>
          <w:rFonts w:ascii="Arial" w:hAnsi="Arial" w:cs="Arial"/>
          <w:b/>
          <w:sz w:val="24"/>
          <w:szCs w:val="24"/>
        </w:rPr>
      </w:pPr>
      <w:r>
        <w:rPr>
          <w:rFonts w:ascii="Arial" w:hAnsi="Arial" w:cs="Arial"/>
          <w:b/>
          <w:sz w:val="24"/>
          <w:szCs w:val="24"/>
        </w:rPr>
        <w:t>1</w:t>
      </w:r>
      <w:r w:rsidR="00E8122E">
        <w:rPr>
          <w:rFonts w:ascii="Arial" w:hAnsi="Arial" w:cs="Arial"/>
          <w:b/>
          <w:sz w:val="24"/>
          <w:szCs w:val="24"/>
        </w:rPr>
        <w:t>2</w:t>
      </w:r>
      <w:r w:rsidR="00C72CF0">
        <w:rPr>
          <w:rFonts w:ascii="Arial" w:hAnsi="Arial" w:cs="Arial"/>
          <w:b/>
          <w:sz w:val="24"/>
          <w:szCs w:val="24"/>
        </w:rPr>
        <w:t>.</w:t>
      </w:r>
      <w:r w:rsidR="00C72CF0">
        <w:rPr>
          <w:rFonts w:ascii="Arial" w:hAnsi="Arial" w:cs="Arial"/>
          <w:b/>
          <w:sz w:val="24"/>
          <w:szCs w:val="24"/>
        </w:rPr>
        <w:tab/>
      </w:r>
      <w:r w:rsidR="00463D5C" w:rsidRPr="00C84D5C">
        <w:rPr>
          <w:rFonts w:ascii="Arial" w:hAnsi="Arial" w:cs="Arial"/>
          <w:b/>
          <w:sz w:val="24"/>
          <w:szCs w:val="24"/>
        </w:rPr>
        <w:t xml:space="preserve">Communication and engagement </w:t>
      </w:r>
    </w:p>
    <w:p w:rsidR="00A675CD" w:rsidRDefault="00463D5C" w:rsidP="00A675CD">
      <w:pPr>
        <w:ind w:firstLine="720"/>
        <w:jc w:val="both"/>
        <w:rPr>
          <w:rFonts w:ascii="Arial" w:hAnsi="Arial" w:cs="Arial"/>
          <w:sz w:val="24"/>
          <w:szCs w:val="24"/>
        </w:rPr>
      </w:pPr>
      <w:r>
        <w:rPr>
          <w:rFonts w:ascii="Arial" w:hAnsi="Arial" w:cs="Arial"/>
          <w:sz w:val="24"/>
          <w:szCs w:val="24"/>
        </w:rPr>
        <w:t xml:space="preserve">There are no specific communications issues arising from this paper which are </w:t>
      </w:r>
    </w:p>
    <w:p w:rsidR="00463D5C" w:rsidRDefault="00463D5C" w:rsidP="00A675CD">
      <w:pPr>
        <w:ind w:firstLine="720"/>
        <w:jc w:val="both"/>
        <w:rPr>
          <w:rFonts w:ascii="Arial" w:hAnsi="Arial" w:cs="Arial"/>
          <w:sz w:val="24"/>
          <w:szCs w:val="24"/>
        </w:rPr>
      </w:pPr>
      <w:proofErr w:type="gramStart"/>
      <w:r>
        <w:rPr>
          <w:rFonts w:ascii="Arial" w:hAnsi="Arial" w:cs="Arial"/>
          <w:sz w:val="24"/>
          <w:szCs w:val="24"/>
        </w:rPr>
        <w:t>not</w:t>
      </w:r>
      <w:proofErr w:type="gramEnd"/>
      <w:r>
        <w:rPr>
          <w:rFonts w:ascii="Arial" w:hAnsi="Arial" w:cs="Arial"/>
          <w:sz w:val="24"/>
          <w:szCs w:val="24"/>
        </w:rPr>
        <w:t xml:space="preserve"> addressed through other relevant plans.</w:t>
      </w:r>
    </w:p>
    <w:p w:rsidR="00EB4B5E" w:rsidRDefault="00463D5C" w:rsidP="00EB4B5E">
      <w:pPr>
        <w:tabs>
          <w:tab w:val="left" w:pos="7155"/>
        </w:tabs>
        <w:ind w:left="539" w:hanging="539"/>
        <w:rPr>
          <w:rFonts w:ascii="Arial" w:hAnsi="Arial" w:cs="Arial"/>
          <w:b/>
          <w:sz w:val="24"/>
          <w:szCs w:val="24"/>
        </w:rPr>
      </w:pPr>
      <w:r>
        <w:rPr>
          <w:rFonts w:ascii="Arial" w:hAnsi="Arial" w:cs="Arial"/>
          <w:b/>
          <w:sz w:val="24"/>
          <w:szCs w:val="24"/>
        </w:rPr>
        <w:tab/>
      </w:r>
      <w:r>
        <w:rPr>
          <w:rFonts w:ascii="Arial" w:hAnsi="Arial" w:cs="Arial"/>
          <w:b/>
          <w:sz w:val="24"/>
          <w:szCs w:val="24"/>
        </w:rPr>
        <w:tab/>
      </w:r>
    </w:p>
    <w:p w:rsidR="00A675CD" w:rsidRPr="00EB4B5E" w:rsidRDefault="00F87442" w:rsidP="00EB4B5E">
      <w:pPr>
        <w:tabs>
          <w:tab w:val="left" w:pos="7155"/>
        </w:tabs>
        <w:ind w:left="539" w:hanging="539"/>
        <w:rPr>
          <w:rFonts w:ascii="Arial" w:hAnsi="Arial" w:cs="Arial"/>
          <w:b/>
          <w:sz w:val="24"/>
          <w:szCs w:val="24"/>
        </w:rPr>
      </w:pPr>
      <w:r>
        <w:rPr>
          <w:rFonts w:ascii="Arial" w:hAnsi="Arial" w:cs="Arial"/>
          <w:b/>
          <w:sz w:val="24"/>
          <w:szCs w:val="24"/>
        </w:rPr>
        <w:t>1</w:t>
      </w:r>
      <w:r w:rsidR="00E8122E">
        <w:rPr>
          <w:rFonts w:ascii="Arial" w:hAnsi="Arial" w:cs="Arial"/>
          <w:b/>
          <w:sz w:val="24"/>
          <w:szCs w:val="24"/>
        </w:rPr>
        <w:t>3</w:t>
      </w:r>
      <w:r w:rsidR="00C72CF0">
        <w:rPr>
          <w:rFonts w:ascii="Arial" w:hAnsi="Arial" w:cs="Arial"/>
          <w:b/>
          <w:sz w:val="24"/>
          <w:szCs w:val="24"/>
        </w:rPr>
        <w:t>.</w:t>
      </w:r>
      <w:r w:rsidR="00C72CF0">
        <w:rPr>
          <w:rFonts w:ascii="Arial" w:hAnsi="Arial" w:cs="Arial"/>
          <w:b/>
          <w:sz w:val="24"/>
          <w:szCs w:val="24"/>
        </w:rPr>
        <w:tab/>
        <w:t xml:space="preserve">   </w:t>
      </w:r>
      <w:r w:rsidR="00A675CD">
        <w:rPr>
          <w:rFonts w:ascii="Arial" w:hAnsi="Arial" w:cs="Arial"/>
          <w:b/>
          <w:sz w:val="24"/>
          <w:szCs w:val="24"/>
        </w:rPr>
        <w:t>Corporate Risk</w:t>
      </w:r>
    </w:p>
    <w:p w:rsidR="00463D5C" w:rsidRDefault="00463D5C" w:rsidP="00A675CD">
      <w:pPr>
        <w:ind w:left="720"/>
        <w:jc w:val="both"/>
        <w:rPr>
          <w:rFonts w:ascii="Arial" w:hAnsi="Arial" w:cs="Arial"/>
          <w:sz w:val="24"/>
          <w:szCs w:val="24"/>
        </w:rPr>
      </w:pPr>
      <w:r>
        <w:rPr>
          <w:rFonts w:ascii="Arial" w:hAnsi="Arial" w:cs="Arial"/>
          <w:sz w:val="24"/>
          <w:szCs w:val="24"/>
        </w:rPr>
        <w:t>Any risks associated with this update are incorporated within related project plans.</w:t>
      </w:r>
    </w:p>
    <w:p w:rsidR="00FC0777" w:rsidRDefault="00FC0777" w:rsidP="00A675CD">
      <w:pPr>
        <w:ind w:left="720"/>
        <w:jc w:val="both"/>
        <w:rPr>
          <w:rFonts w:ascii="Arial" w:hAnsi="Arial" w:cs="Arial"/>
          <w:sz w:val="24"/>
          <w:szCs w:val="24"/>
        </w:rPr>
      </w:pPr>
    </w:p>
    <w:p w:rsidR="00FC0777" w:rsidRPr="00FC0777" w:rsidRDefault="006C1514" w:rsidP="00CF4B55">
      <w:pPr>
        <w:rPr>
          <w:rFonts w:ascii="Arial" w:hAnsi="Arial" w:cs="Arial"/>
          <w:b/>
          <w:sz w:val="24"/>
          <w:szCs w:val="24"/>
        </w:rPr>
      </w:pPr>
      <w:r>
        <w:rPr>
          <w:rFonts w:ascii="Arial" w:hAnsi="Arial" w:cs="Arial"/>
          <w:b/>
          <w:sz w:val="24"/>
          <w:szCs w:val="24"/>
        </w:rPr>
        <w:t>1</w:t>
      </w:r>
      <w:r w:rsidR="00E8122E">
        <w:rPr>
          <w:rFonts w:ascii="Arial" w:hAnsi="Arial" w:cs="Arial"/>
          <w:b/>
          <w:sz w:val="24"/>
          <w:szCs w:val="24"/>
        </w:rPr>
        <w:t>4</w:t>
      </w:r>
      <w:r w:rsidR="00C72CF0">
        <w:rPr>
          <w:rFonts w:ascii="Arial" w:hAnsi="Arial" w:cs="Arial"/>
          <w:b/>
          <w:sz w:val="24"/>
          <w:szCs w:val="24"/>
        </w:rPr>
        <w:t>.</w:t>
      </w:r>
      <w:r w:rsidR="00C72CF0">
        <w:rPr>
          <w:rFonts w:ascii="Arial" w:hAnsi="Arial" w:cs="Arial"/>
          <w:b/>
          <w:sz w:val="24"/>
          <w:szCs w:val="24"/>
        </w:rPr>
        <w:tab/>
      </w:r>
      <w:r w:rsidR="00FC0777" w:rsidRPr="00FC0777">
        <w:rPr>
          <w:rFonts w:ascii="Arial" w:hAnsi="Arial" w:cs="Arial"/>
          <w:b/>
          <w:sz w:val="24"/>
          <w:szCs w:val="24"/>
        </w:rPr>
        <w:t>Issues Associated with Transition</w:t>
      </w:r>
    </w:p>
    <w:p w:rsidR="00FC0777" w:rsidRDefault="00FC0777" w:rsidP="00A675CD">
      <w:pPr>
        <w:ind w:left="720"/>
        <w:jc w:val="both"/>
        <w:rPr>
          <w:rFonts w:ascii="Arial" w:hAnsi="Arial" w:cs="Arial"/>
          <w:sz w:val="24"/>
          <w:szCs w:val="24"/>
        </w:rPr>
      </w:pPr>
    </w:p>
    <w:p w:rsidR="00463D5C" w:rsidRDefault="00E8122E" w:rsidP="002C7BFF">
      <w:pPr>
        <w:pStyle w:val="Heading2"/>
        <w:spacing w:before="0"/>
      </w:pPr>
      <w:r>
        <w:t>15</w:t>
      </w:r>
      <w:r w:rsidR="00C72CF0">
        <w:t>.</w:t>
      </w:r>
      <w:r w:rsidR="00C72CF0">
        <w:tab/>
      </w:r>
      <w:r w:rsidR="00463D5C">
        <w:t xml:space="preserve">Promoting Fairness </w:t>
      </w:r>
    </w:p>
    <w:p w:rsidR="00463D5C" w:rsidRPr="00473FD5" w:rsidRDefault="00463D5C" w:rsidP="00A675CD">
      <w:pPr>
        <w:ind w:firstLine="720"/>
        <w:jc w:val="both"/>
        <w:rPr>
          <w:rFonts w:ascii="Arial" w:hAnsi="Arial" w:cs="Arial"/>
          <w:sz w:val="24"/>
          <w:szCs w:val="24"/>
        </w:rPr>
      </w:pPr>
      <w:r w:rsidRPr="00473FD5">
        <w:rPr>
          <w:rFonts w:ascii="Arial" w:hAnsi="Arial" w:cs="Arial"/>
          <w:sz w:val="24"/>
          <w:szCs w:val="24"/>
        </w:rPr>
        <w:t>There are no specific issues arising from this paper.</w:t>
      </w:r>
    </w:p>
    <w:p w:rsidR="00463D5C" w:rsidRDefault="00463D5C" w:rsidP="00463D5C">
      <w:pPr>
        <w:ind w:left="539" w:hanging="539"/>
        <w:rPr>
          <w:rFonts w:ascii="Arial" w:hAnsi="Arial" w:cs="Arial"/>
          <w:sz w:val="24"/>
          <w:szCs w:val="24"/>
        </w:rPr>
      </w:pPr>
    </w:p>
    <w:p w:rsidR="00463D5C" w:rsidRDefault="00E8122E" w:rsidP="00463D5C">
      <w:pPr>
        <w:pStyle w:val="Heading2"/>
        <w:rPr>
          <w:rFonts w:cs="Arial"/>
          <w:color w:val="C00000"/>
          <w:szCs w:val="24"/>
        </w:rPr>
      </w:pPr>
      <w:r>
        <w:t>16</w:t>
      </w:r>
      <w:r w:rsidR="00C72CF0">
        <w:t>.</w:t>
      </w:r>
      <w:r w:rsidR="00C72CF0">
        <w:tab/>
      </w:r>
      <w:r w:rsidR="00463D5C">
        <w:t xml:space="preserve">Sustainability and Environmental Management </w:t>
      </w:r>
    </w:p>
    <w:p w:rsidR="00463D5C" w:rsidRDefault="00570A0C" w:rsidP="00463D5C">
      <w:pPr>
        <w:tabs>
          <w:tab w:val="left" w:pos="5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463D5C">
        <w:rPr>
          <w:rFonts w:ascii="Arial" w:hAnsi="Arial" w:cs="Arial"/>
          <w:sz w:val="24"/>
          <w:szCs w:val="24"/>
        </w:rPr>
        <w:t>There are no specific environmental issues arising from this paper.</w:t>
      </w:r>
    </w:p>
    <w:p w:rsidR="00463D5C" w:rsidRDefault="00463D5C" w:rsidP="00463D5C">
      <w:pPr>
        <w:pStyle w:val="Heading2"/>
      </w:pPr>
    </w:p>
    <w:p w:rsidR="00463D5C" w:rsidRDefault="00E8122E" w:rsidP="002B13E7">
      <w:pPr>
        <w:pStyle w:val="Heading2"/>
        <w:spacing w:before="0"/>
      </w:pPr>
      <w:r>
        <w:t>17</w:t>
      </w:r>
      <w:bookmarkStart w:id="0" w:name="_GoBack"/>
      <w:bookmarkEnd w:id="0"/>
      <w:r w:rsidR="00C72CF0">
        <w:t>.</w:t>
      </w:r>
      <w:r w:rsidR="00C72CF0">
        <w:tab/>
      </w:r>
      <w:r w:rsidR="00463D5C">
        <w:t xml:space="preserve">Action/ Recommendations </w:t>
      </w:r>
    </w:p>
    <w:p w:rsidR="00463D5C" w:rsidRDefault="00463D5C" w:rsidP="00A675CD">
      <w:pPr>
        <w:ind w:firstLine="720"/>
        <w:rPr>
          <w:rFonts w:ascii="Arial" w:hAnsi="Arial" w:cs="Arial"/>
          <w:sz w:val="24"/>
          <w:szCs w:val="24"/>
        </w:rPr>
      </w:pPr>
      <w:r>
        <w:rPr>
          <w:rFonts w:ascii="Arial" w:hAnsi="Arial" w:cs="Arial"/>
          <w:sz w:val="24"/>
          <w:szCs w:val="24"/>
        </w:rPr>
        <w:t>The Board is asked to note the paper.</w:t>
      </w:r>
    </w:p>
    <w:p w:rsidR="00343634" w:rsidRDefault="00343634" w:rsidP="00A675CD">
      <w:pPr>
        <w:ind w:firstLine="720"/>
        <w:rPr>
          <w:rFonts w:ascii="Arial" w:hAnsi="Arial" w:cs="Arial"/>
          <w:sz w:val="24"/>
          <w:szCs w:val="24"/>
        </w:rPr>
      </w:pPr>
    </w:p>
    <w:p w:rsidR="00463D5C" w:rsidRDefault="00463D5C" w:rsidP="00463D5C"/>
    <w:p w:rsidR="00463D5C" w:rsidRDefault="00463D5C" w:rsidP="00463D5C">
      <w:pPr>
        <w:jc w:val="both"/>
        <w:rPr>
          <w:rFonts w:ascii="Arial" w:hAnsi="Arial" w:cs="Arial"/>
          <w:b/>
          <w:sz w:val="24"/>
          <w:szCs w:val="24"/>
        </w:rPr>
      </w:pPr>
      <w:r>
        <w:rPr>
          <w:rFonts w:ascii="Arial" w:hAnsi="Arial" w:cs="Arial"/>
          <w:b/>
          <w:sz w:val="24"/>
          <w:szCs w:val="24"/>
        </w:rPr>
        <w:t>Gerald McLaughlin</w:t>
      </w:r>
    </w:p>
    <w:p w:rsidR="00764D9A" w:rsidRDefault="00A675CD" w:rsidP="00A675CD">
      <w:pPr>
        <w:jc w:val="both"/>
        <w:rPr>
          <w:rFonts w:ascii="Arial" w:hAnsi="Arial" w:cs="Arial"/>
          <w:b/>
          <w:sz w:val="24"/>
          <w:szCs w:val="24"/>
        </w:rPr>
      </w:pPr>
      <w:r>
        <w:rPr>
          <w:rFonts w:ascii="Arial" w:hAnsi="Arial" w:cs="Arial"/>
          <w:b/>
          <w:sz w:val="24"/>
          <w:szCs w:val="24"/>
        </w:rPr>
        <w:t>Chief Executive</w:t>
      </w:r>
    </w:p>
    <w:p w:rsidR="00DA20AB" w:rsidRPr="00A675CD" w:rsidRDefault="00186847" w:rsidP="00A675CD">
      <w:pPr>
        <w:jc w:val="both"/>
        <w:rPr>
          <w:rFonts w:ascii="Arial" w:hAnsi="Arial" w:cs="Arial"/>
          <w:b/>
          <w:sz w:val="24"/>
          <w:szCs w:val="24"/>
        </w:rPr>
      </w:pPr>
      <w:r>
        <w:rPr>
          <w:rFonts w:ascii="Arial" w:hAnsi="Arial" w:cs="Arial"/>
          <w:b/>
          <w:sz w:val="24"/>
          <w:szCs w:val="24"/>
        </w:rPr>
        <w:t>18 September</w:t>
      </w:r>
      <w:r w:rsidR="005872FD">
        <w:rPr>
          <w:rFonts w:ascii="Arial" w:hAnsi="Arial" w:cs="Arial"/>
          <w:b/>
          <w:sz w:val="24"/>
          <w:szCs w:val="24"/>
        </w:rPr>
        <w:t xml:space="preserve"> 2019</w:t>
      </w:r>
    </w:p>
    <w:sectPr w:rsidR="00DA20AB" w:rsidRPr="00A675CD" w:rsidSect="00921B3E">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63" w:rsidRDefault="00095F63" w:rsidP="002A28A8">
      <w:r>
        <w:separator/>
      </w:r>
    </w:p>
  </w:endnote>
  <w:endnote w:type="continuationSeparator" w:id="0">
    <w:p w:rsidR="00095F63" w:rsidRDefault="00095F63" w:rsidP="002A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964192"/>
      <w:docPartObj>
        <w:docPartGallery w:val="Page Numbers (Bottom of Page)"/>
        <w:docPartUnique/>
      </w:docPartObj>
    </w:sdtPr>
    <w:sdtEndPr>
      <w:rPr>
        <w:noProof/>
      </w:rPr>
    </w:sdtEndPr>
    <w:sdtContent>
      <w:p w:rsidR="002A28A8" w:rsidRDefault="002A28A8">
        <w:pPr>
          <w:pStyle w:val="Footer"/>
          <w:jc w:val="right"/>
        </w:pPr>
        <w:r>
          <w:fldChar w:fldCharType="begin"/>
        </w:r>
        <w:r>
          <w:instrText xml:space="preserve"> PAGE   \* MERGEFORMAT </w:instrText>
        </w:r>
        <w:r>
          <w:fldChar w:fldCharType="separate"/>
        </w:r>
        <w:r w:rsidR="00E8122E">
          <w:rPr>
            <w:noProof/>
          </w:rPr>
          <w:t>4</w:t>
        </w:r>
        <w:r>
          <w:rPr>
            <w:noProof/>
          </w:rPr>
          <w:fldChar w:fldCharType="end"/>
        </w:r>
      </w:p>
    </w:sdtContent>
  </w:sdt>
  <w:p w:rsidR="002A28A8" w:rsidRDefault="002A2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30527"/>
      <w:docPartObj>
        <w:docPartGallery w:val="Page Numbers (Bottom of Page)"/>
        <w:docPartUnique/>
      </w:docPartObj>
    </w:sdtPr>
    <w:sdtEndPr/>
    <w:sdtContent>
      <w:p w:rsidR="006D5F88" w:rsidRDefault="006D5F88">
        <w:pPr>
          <w:pStyle w:val="Footer"/>
          <w:jc w:val="right"/>
        </w:pPr>
        <w:r>
          <w:t xml:space="preserve">Page | </w:t>
        </w:r>
        <w:r>
          <w:fldChar w:fldCharType="begin"/>
        </w:r>
        <w:r>
          <w:instrText xml:space="preserve"> PAGE   \* MERGEFORMAT </w:instrText>
        </w:r>
        <w:r>
          <w:fldChar w:fldCharType="separate"/>
        </w:r>
        <w:r w:rsidR="00E8122E">
          <w:rPr>
            <w:noProof/>
          </w:rPr>
          <w:t>1</w:t>
        </w:r>
        <w:r>
          <w:rPr>
            <w:noProof/>
          </w:rPr>
          <w:fldChar w:fldCharType="end"/>
        </w:r>
        <w:r>
          <w:t xml:space="preserve"> </w:t>
        </w:r>
      </w:p>
    </w:sdtContent>
  </w:sdt>
  <w:p w:rsidR="006D5F88" w:rsidRDefault="006D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63" w:rsidRDefault="00095F63" w:rsidP="002A28A8">
      <w:r>
        <w:separator/>
      </w:r>
    </w:p>
  </w:footnote>
  <w:footnote w:type="continuationSeparator" w:id="0">
    <w:p w:rsidR="00095F63" w:rsidRDefault="00095F63" w:rsidP="002A2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B3E" w:rsidRPr="006D5F88" w:rsidRDefault="00960F72" w:rsidP="00921B3E">
    <w:pPr>
      <w:pStyle w:val="Header"/>
      <w:jc w:val="right"/>
      <w:rPr>
        <w:rFonts w:asciiTheme="minorHAnsi" w:hAnsiTheme="minorHAnsi" w:cs="Arial"/>
      </w:rPr>
    </w:pPr>
    <w:r>
      <w:rPr>
        <w:rFonts w:asciiTheme="minorHAnsi" w:hAnsiTheme="minorHAnsi" w:cs="Arial"/>
      </w:rPr>
      <w:t>HS Paper 43</w:t>
    </w:r>
    <w:r w:rsidR="006D5F88">
      <w:rPr>
        <w:rFonts w:asciiTheme="minorHAnsi" w:hAnsiTheme="minorHAnsi" w:cs="Arial"/>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4BB1"/>
    <w:multiLevelType w:val="hybridMultilevel"/>
    <w:tmpl w:val="4B742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706DA"/>
    <w:multiLevelType w:val="hybridMultilevel"/>
    <w:tmpl w:val="198A0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851C1C"/>
    <w:multiLevelType w:val="hybridMultilevel"/>
    <w:tmpl w:val="C4627A62"/>
    <w:lvl w:ilvl="0" w:tplc="0809000F">
      <w:start w:val="1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A61CC5"/>
    <w:multiLevelType w:val="hybridMultilevel"/>
    <w:tmpl w:val="AECEB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57786"/>
    <w:multiLevelType w:val="hybridMultilevel"/>
    <w:tmpl w:val="B61A94EA"/>
    <w:lvl w:ilvl="0" w:tplc="701654B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959EC"/>
    <w:multiLevelType w:val="hybridMultilevel"/>
    <w:tmpl w:val="19845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B1735A"/>
    <w:multiLevelType w:val="hybridMultilevel"/>
    <w:tmpl w:val="0D34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04C2D"/>
    <w:multiLevelType w:val="hybridMultilevel"/>
    <w:tmpl w:val="3E4A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7339A"/>
    <w:multiLevelType w:val="hybridMultilevel"/>
    <w:tmpl w:val="CD4C51FC"/>
    <w:lvl w:ilvl="0" w:tplc="B28ADB00">
      <w:start w:val="1"/>
      <w:numFmt w:val="decimal"/>
      <w:lvlText w:val="%1."/>
      <w:lvlJc w:val="left"/>
      <w:pPr>
        <w:ind w:left="36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84331"/>
    <w:multiLevelType w:val="hybridMultilevel"/>
    <w:tmpl w:val="0D2A72D8"/>
    <w:lvl w:ilvl="0" w:tplc="0809000F">
      <w:start w:val="1"/>
      <w:numFmt w:val="decimal"/>
      <w:lvlText w:val="%1."/>
      <w:lvlJc w:val="left"/>
      <w:pPr>
        <w:ind w:left="1620" w:hanging="360"/>
      </w:pPr>
      <w:rPr>
        <w:i w:val="0"/>
        <w:color w:val="auto"/>
      </w:rPr>
    </w:lvl>
    <w:lvl w:ilvl="1" w:tplc="0809000F">
      <w:start w:val="1"/>
      <w:numFmt w:val="decimal"/>
      <w:lvlText w:val="%2."/>
      <w:lvlJc w:val="left"/>
      <w:pPr>
        <w:ind w:left="2430" w:hanging="360"/>
      </w:pPr>
    </w:lvl>
    <w:lvl w:ilvl="2" w:tplc="0809001B">
      <w:start w:val="1"/>
      <w:numFmt w:val="lowerRoman"/>
      <w:lvlText w:val="%3."/>
      <w:lvlJc w:val="right"/>
      <w:pPr>
        <w:ind w:left="3150" w:hanging="180"/>
      </w:pPr>
    </w:lvl>
    <w:lvl w:ilvl="3" w:tplc="0809000F">
      <w:start w:val="1"/>
      <w:numFmt w:val="decimal"/>
      <w:lvlText w:val="%4."/>
      <w:lvlJc w:val="left"/>
      <w:pPr>
        <w:ind w:left="3870" w:hanging="360"/>
      </w:pPr>
    </w:lvl>
    <w:lvl w:ilvl="4" w:tplc="08090019">
      <w:start w:val="1"/>
      <w:numFmt w:val="lowerLetter"/>
      <w:lvlText w:val="%5."/>
      <w:lvlJc w:val="left"/>
      <w:pPr>
        <w:ind w:left="4590" w:hanging="360"/>
      </w:pPr>
    </w:lvl>
    <w:lvl w:ilvl="5" w:tplc="0809001B">
      <w:start w:val="1"/>
      <w:numFmt w:val="lowerRoman"/>
      <w:lvlText w:val="%6."/>
      <w:lvlJc w:val="right"/>
      <w:pPr>
        <w:ind w:left="5310" w:hanging="180"/>
      </w:pPr>
    </w:lvl>
    <w:lvl w:ilvl="6" w:tplc="0809000F">
      <w:start w:val="1"/>
      <w:numFmt w:val="decimal"/>
      <w:lvlText w:val="%7."/>
      <w:lvlJc w:val="left"/>
      <w:pPr>
        <w:ind w:left="6030" w:hanging="360"/>
      </w:pPr>
    </w:lvl>
    <w:lvl w:ilvl="7" w:tplc="08090019">
      <w:start w:val="1"/>
      <w:numFmt w:val="lowerLetter"/>
      <w:lvlText w:val="%8."/>
      <w:lvlJc w:val="left"/>
      <w:pPr>
        <w:ind w:left="6750" w:hanging="360"/>
      </w:pPr>
    </w:lvl>
    <w:lvl w:ilvl="8" w:tplc="0809001B">
      <w:start w:val="1"/>
      <w:numFmt w:val="lowerRoman"/>
      <w:lvlText w:val="%9."/>
      <w:lvlJc w:val="right"/>
      <w:pPr>
        <w:ind w:left="7470" w:hanging="180"/>
      </w:pPr>
    </w:lvl>
  </w:abstractNum>
  <w:abstractNum w:abstractNumId="10" w15:restartNumberingAfterBreak="0">
    <w:nsid w:val="52F67278"/>
    <w:multiLevelType w:val="hybridMultilevel"/>
    <w:tmpl w:val="91E68912"/>
    <w:lvl w:ilvl="0" w:tplc="DE804DC4">
      <w:start w:val="1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D24B14"/>
    <w:multiLevelType w:val="hybridMultilevel"/>
    <w:tmpl w:val="743A4462"/>
    <w:lvl w:ilvl="0" w:tplc="21483CCC">
      <w:start w:val="1"/>
      <w:numFmt w:val="decimal"/>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A772C0"/>
    <w:multiLevelType w:val="hybridMultilevel"/>
    <w:tmpl w:val="E42C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D528BC"/>
    <w:multiLevelType w:val="hybridMultilevel"/>
    <w:tmpl w:val="42AAE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7631F2"/>
    <w:multiLevelType w:val="hybridMultilevel"/>
    <w:tmpl w:val="528AF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9"/>
  </w:num>
  <w:num w:numId="6">
    <w:abstractNumId w:val="0"/>
  </w:num>
  <w:num w:numId="7">
    <w:abstractNumId w:val="14"/>
  </w:num>
  <w:num w:numId="8">
    <w:abstractNumId w:val="3"/>
  </w:num>
  <w:num w:numId="9">
    <w:abstractNumId w:val="4"/>
  </w:num>
  <w:num w:numId="10">
    <w:abstractNumId w:val="10"/>
  </w:num>
  <w:num w:numId="11">
    <w:abstractNumId w:val="5"/>
  </w:num>
  <w:num w:numId="12">
    <w:abstractNumId w:val="6"/>
  </w:num>
  <w:num w:numId="13">
    <w:abstractNumId w:val="13"/>
  </w:num>
  <w:num w:numId="14">
    <w:abstractNumId w:val="11"/>
  </w:num>
  <w:num w:numId="15">
    <w:abstractNumId w:val="1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5C"/>
    <w:rsid w:val="0001655C"/>
    <w:rsid w:val="00035525"/>
    <w:rsid w:val="00036603"/>
    <w:rsid w:val="000540D1"/>
    <w:rsid w:val="00063121"/>
    <w:rsid w:val="00083BF9"/>
    <w:rsid w:val="00095F63"/>
    <w:rsid w:val="000A2015"/>
    <w:rsid w:val="000A5C63"/>
    <w:rsid w:val="000B12C7"/>
    <w:rsid w:val="000C1806"/>
    <w:rsid w:val="000E4497"/>
    <w:rsid w:val="00115796"/>
    <w:rsid w:val="001231DF"/>
    <w:rsid w:val="00132212"/>
    <w:rsid w:val="001547F5"/>
    <w:rsid w:val="0017242F"/>
    <w:rsid w:val="00185A7B"/>
    <w:rsid w:val="00186847"/>
    <w:rsid w:val="001A672E"/>
    <w:rsid w:val="001C0A9E"/>
    <w:rsid w:val="001F2A49"/>
    <w:rsid w:val="001F7DE3"/>
    <w:rsid w:val="0023061B"/>
    <w:rsid w:val="00235419"/>
    <w:rsid w:val="00243E38"/>
    <w:rsid w:val="00260BE8"/>
    <w:rsid w:val="00266791"/>
    <w:rsid w:val="002751EC"/>
    <w:rsid w:val="00283041"/>
    <w:rsid w:val="00286094"/>
    <w:rsid w:val="00295405"/>
    <w:rsid w:val="002A28A8"/>
    <w:rsid w:val="002A53D6"/>
    <w:rsid w:val="002B13E7"/>
    <w:rsid w:val="002C1A69"/>
    <w:rsid w:val="002C3A76"/>
    <w:rsid w:val="002C7BFF"/>
    <w:rsid w:val="002D2CD6"/>
    <w:rsid w:val="002F2326"/>
    <w:rsid w:val="00316CEB"/>
    <w:rsid w:val="00321688"/>
    <w:rsid w:val="00331F8E"/>
    <w:rsid w:val="00335E34"/>
    <w:rsid w:val="00343634"/>
    <w:rsid w:val="003663E5"/>
    <w:rsid w:val="003C693E"/>
    <w:rsid w:val="003E6705"/>
    <w:rsid w:val="003F66DC"/>
    <w:rsid w:val="00402BDC"/>
    <w:rsid w:val="004166C9"/>
    <w:rsid w:val="00421DE4"/>
    <w:rsid w:val="004342AF"/>
    <w:rsid w:val="00443CD9"/>
    <w:rsid w:val="00463D5C"/>
    <w:rsid w:val="00473FD5"/>
    <w:rsid w:val="004B76D7"/>
    <w:rsid w:val="004E2E1D"/>
    <w:rsid w:val="004F25E3"/>
    <w:rsid w:val="00501929"/>
    <w:rsid w:val="00507CD5"/>
    <w:rsid w:val="00514F4D"/>
    <w:rsid w:val="005222F7"/>
    <w:rsid w:val="00543072"/>
    <w:rsid w:val="0055793E"/>
    <w:rsid w:val="00563551"/>
    <w:rsid w:val="00570A0C"/>
    <w:rsid w:val="00584209"/>
    <w:rsid w:val="005872FD"/>
    <w:rsid w:val="005973C3"/>
    <w:rsid w:val="005A2D60"/>
    <w:rsid w:val="005C0227"/>
    <w:rsid w:val="005C43CD"/>
    <w:rsid w:val="005D135B"/>
    <w:rsid w:val="005E0E75"/>
    <w:rsid w:val="005E4395"/>
    <w:rsid w:val="006032F9"/>
    <w:rsid w:val="00606604"/>
    <w:rsid w:val="00611A8F"/>
    <w:rsid w:val="0063143F"/>
    <w:rsid w:val="00634BD6"/>
    <w:rsid w:val="00643B5F"/>
    <w:rsid w:val="00662A9F"/>
    <w:rsid w:val="00665A7B"/>
    <w:rsid w:val="00674AAC"/>
    <w:rsid w:val="0067744C"/>
    <w:rsid w:val="0069564B"/>
    <w:rsid w:val="006A2986"/>
    <w:rsid w:val="006A36DD"/>
    <w:rsid w:val="006A3966"/>
    <w:rsid w:val="006A5BB6"/>
    <w:rsid w:val="006C1514"/>
    <w:rsid w:val="006C3C87"/>
    <w:rsid w:val="006D4B57"/>
    <w:rsid w:val="006D5A65"/>
    <w:rsid w:val="006D5F88"/>
    <w:rsid w:val="006E0D73"/>
    <w:rsid w:val="006F33BB"/>
    <w:rsid w:val="00726431"/>
    <w:rsid w:val="0073484F"/>
    <w:rsid w:val="0074236F"/>
    <w:rsid w:val="00764D9A"/>
    <w:rsid w:val="007664F9"/>
    <w:rsid w:val="00773061"/>
    <w:rsid w:val="0078426F"/>
    <w:rsid w:val="0078750A"/>
    <w:rsid w:val="007A7522"/>
    <w:rsid w:val="007B2939"/>
    <w:rsid w:val="007B3665"/>
    <w:rsid w:val="007E7544"/>
    <w:rsid w:val="008070BA"/>
    <w:rsid w:val="00812E16"/>
    <w:rsid w:val="008328D9"/>
    <w:rsid w:val="00842D9E"/>
    <w:rsid w:val="00843063"/>
    <w:rsid w:val="00865A1A"/>
    <w:rsid w:val="00871F9C"/>
    <w:rsid w:val="00880CB3"/>
    <w:rsid w:val="008825EB"/>
    <w:rsid w:val="008B5EBE"/>
    <w:rsid w:val="008B7C0B"/>
    <w:rsid w:val="008C4F5D"/>
    <w:rsid w:val="008C6B8C"/>
    <w:rsid w:val="008C75CB"/>
    <w:rsid w:val="008C7A39"/>
    <w:rsid w:val="008D49AC"/>
    <w:rsid w:val="008F5185"/>
    <w:rsid w:val="008F6BBB"/>
    <w:rsid w:val="00921B3E"/>
    <w:rsid w:val="00925694"/>
    <w:rsid w:val="00926775"/>
    <w:rsid w:val="009537BF"/>
    <w:rsid w:val="0095768B"/>
    <w:rsid w:val="00960F72"/>
    <w:rsid w:val="00A02D8D"/>
    <w:rsid w:val="00A10DC6"/>
    <w:rsid w:val="00A11691"/>
    <w:rsid w:val="00A13EA6"/>
    <w:rsid w:val="00A14F4E"/>
    <w:rsid w:val="00A15743"/>
    <w:rsid w:val="00A2112C"/>
    <w:rsid w:val="00A2603F"/>
    <w:rsid w:val="00A30404"/>
    <w:rsid w:val="00A3195B"/>
    <w:rsid w:val="00A675CD"/>
    <w:rsid w:val="00A720FE"/>
    <w:rsid w:val="00A73BDD"/>
    <w:rsid w:val="00A841D2"/>
    <w:rsid w:val="00A85D48"/>
    <w:rsid w:val="00A90231"/>
    <w:rsid w:val="00A9662E"/>
    <w:rsid w:val="00A97761"/>
    <w:rsid w:val="00AA29CD"/>
    <w:rsid w:val="00AA7A01"/>
    <w:rsid w:val="00AB7062"/>
    <w:rsid w:val="00AC2A61"/>
    <w:rsid w:val="00AC53B1"/>
    <w:rsid w:val="00AD4048"/>
    <w:rsid w:val="00B24652"/>
    <w:rsid w:val="00B42ADD"/>
    <w:rsid w:val="00B44DA2"/>
    <w:rsid w:val="00B52B02"/>
    <w:rsid w:val="00B633E3"/>
    <w:rsid w:val="00B63C8A"/>
    <w:rsid w:val="00B660B7"/>
    <w:rsid w:val="00B91464"/>
    <w:rsid w:val="00B95634"/>
    <w:rsid w:val="00BA3ED4"/>
    <w:rsid w:val="00BA68EB"/>
    <w:rsid w:val="00BC29AC"/>
    <w:rsid w:val="00BC4342"/>
    <w:rsid w:val="00BD1723"/>
    <w:rsid w:val="00BD1B49"/>
    <w:rsid w:val="00BF655C"/>
    <w:rsid w:val="00C05FD9"/>
    <w:rsid w:val="00C074BB"/>
    <w:rsid w:val="00C14F61"/>
    <w:rsid w:val="00C175D5"/>
    <w:rsid w:val="00C17C75"/>
    <w:rsid w:val="00C26AD0"/>
    <w:rsid w:val="00C31AC8"/>
    <w:rsid w:val="00C4626A"/>
    <w:rsid w:val="00C6184B"/>
    <w:rsid w:val="00C72CF0"/>
    <w:rsid w:val="00C84D5C"/>
    <w:rsid w:val="00CE3194"/>
    <w:rsid w:val="00CF4B55"/>
    <w:rsid w:val="00CF5071"/>
    <w:rsid w:val="00CF76FA"/>
    <w:rsid w:val="00CF7F76"/>
    <w:rsid w:val="00D166BB"/>
    <w:rsid w:val="00D478D2"/>
    <w:rsid w:val="00D621E9"/>
    <w:rsid w:val="00D64745"/>
    <w:rsid w:val="00D72A1E"/>
    <w:rsid w:val="00D9254E"/>
    <w:rsid w:val="00DA1193"/>
    <w:rsid w:val="00DA20AB"/>
    <w:rsid w:val="00DA252A"/>
    <w:rsid w:val="00DB5C1A"/>
    <w:rsid w:val="00DC03C3"/>
    <w:rsid w:val="00DD647D"/>
    <w:rsid w:val="00DE236B"/>
    <w:rsid w:val="00E12F63"/>
    <w:rsid w:val="00E3409D"/>
    <w:rsid w:val="00E3521F"/>
    <w:rsid w:val="00E40DE8"/>
    <w:rsid w:val="00E446E2"/>
    <w:rsid w:val="00E8122E"/>
    <w:rsid w:val="00E84EF0"/>
    <w:rsid w:val="00E91CBE"/>
    <w:rsid w:val="00EA5398"/>
    <w:rsid w:val="00EA7718"/>
    <w:rsid w:val="00EB4B5E"/>
    <w:rsid w:val="00EC79D4"/>
    <w:rsid w:val="00EF5564"/>
    <w:rsid w:val="00F04EEE"/>
    <w:rsid w:val="00F163E6"/>
    <w:rsid w:val="00F24CEF"/>
    <w:rsid w:val="00F33758"/>
    <w:rsid w:val="00F41366"/>
    <w:rsid w:val="00F43365"/>
    <w:rsid w:val="00F43DA2"/>
    <w:rsid w:val="00F87442"/>
    <w:rsid w:val="00FA0BE6"/>
    <w:rsid w:val="00FB0C95"/>
    <w:rsid w:val="00FB205D"/>
    <w:rsid w:val="00FB7983"/>
    <w:rsid w:val="00FC0777"/>
    <w:rsid w:val="00FC29FA"/>
    <w:rsid w:val="00FD1988"/>
    <w:rsid w:val="00FE10D8"/>
    <w:rsid w:val="00FE762F"/>
    <w:rsid w:val="00FF02D6"/>
    <w:rsid w:val="00FF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25D42-4AC7-4BFD-8D52-81678F7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5C"/>
    <w:pPr>
      <w:spacing w:after="0" w:line="240" w:lineRule="auto"/>
    </w:pPr>
    <w:rPr>
      <w:rFonts w:ascii="Calibri" w:hAnsi="Calibri" w:cs="Calibri"/>
    </w:rPr>
  </w:style>
  <w:style w:type="paragraph" w:styleId="Heading1">
    <w:name w:val="heading 1"/>
    <w:basedOn w:val="Normal"/>
    <w:next w:val="Normal"/>
    <w:link w:val="Heading1Char"/>
    <w:uiPriority w:val="9"/>
    <w:qFormat/>
    <w:rsid w:val="00463D5C"/>
    <w:pPr>
      <w:keepNext/>
      <w:keepLines/>
      <w:spacing w:before="240" w:line="25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3D5C"/>
    <w:pPr>
      <w:keepNext/>
      <w:keepLines/>
      <w:spacing w:before="40" w:line="252"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D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3D5C"/>
    <w:rPr>
      <w:rFonts w:ascii="Arial" w:eastAsiaTheme="majorEastAsia" w:hAnsi="Arial" w:cstheme="majorBidi"/>
      <w:b/>
      <w:sz w:val="24"/>
      <w:szCs w:val="26"/>
    </w:rPr>
  </w:style>
  <w:style w:type="character" w:styleId="Hyperlink">
    <w:name w:val="Hyperlink"/>
    <w:basedOn w:val="DefaultParagraphFont"/>
    <w:uiPriority w:val="99"/>
    <w:semiHidden/>
    <w:unhideWhenUsed/>
    <w:rsid w:val="00463D5C"/>
    <w:rPr>
      <w:strike w:val="0"/>
      <w:dstrike w:val="0"/>
      <w:color w:val="0563C1" w:themeColor="hyperlink"/>
      <w:u w:val="none"/>
      <w:effect w:val="none"/>
    </w:rPr>
  </w:style>
  <w:style w:type="paragraph" w:styleId="ListParagraph">
    <w:name w:val="List Paragraph"/>
    <w:basedOn w:val="Normal"/>
    <w:uiPriority w:val="34"/>
    <w:qFormat/>
    <w:rsid w:val="00463D5C"/>
    <w:pPr>
      <w:spacing w:after="160" w:line="252"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2A28A8"/>
    <w:pPr>
      <w:tabs>
        <w:tab w:val="center" w:pos="4513"/>
        <w:tab w:val="right" w:pos="9026"/>
      </w:tabs>
    </w:pPr>
  </w:style>
  <w:style w:type="character" w:customStyle="1" w:styleId="HeaderChar">
    <w:name w:val="Header Char"/>
    <w:basedOn w:val="DefaultParagraphFont"/>
    <w:link w:val="Header"/>
    <w:uiPriority w:val="99"/>
    <w:rsid w:val="002A28A8"/>
    <w:rPr>
      <w:rFonts w:ascii="Calibri" w:hAnsi="Calibri" w:cs="Calibri"/>
    </w:rPr>
  </w:style>
  <w:style w:type="paragraph" w:styleId="Footer">
    <w:name w:val="footer"/>
    <w:basedOn w:val="Normal"/>
    <w:link w:val="FooterChar"/>
    <w:uiPriority w:val="99"/>
    <w:unhideWhenUsed/>
    <w:rsid w:val="002A28A8"/>
    <w:pPr>
      <w:tabs>
        <w:tab w:val="center" w:pos="4513"/>
        <w:tab w:val="right" w:pos="9026"/>
      </w:tabs>
    </w:pPr>
  </w:style>
  <w:style w:type="character" w:customStyle="1" w:styleId="FooterChar">
    <w:name w:val="Footer Char"/>
    <w:basedOn w:val="DefaultParagraphFont"/>
    <w:link w:val="Footer"/>
    <w:uiPriority w:val="99"/>
    <w:rsid w:val="002A28A8"/>
    <w:rPr>
      <w:rFonts w:ascii="Calibri" w:hAnsi="Calibri" w:cs="Calibri"/>
    </w:rPr>
  </w:style>
  <w:style w:type="paragraph" w:styleId="BalloonText">
    <w:name w:val="Balloon Text"/>
    <w:basedOn w:val="Normal"/>
    <w:link w:val="BalloonTextChar"/>
    <w:uiPriority w:val="99"/>
    <w:semiHidden/>
    <w:unhideWhenUsed/>
    <w:rsid w:val="00AB7062"/>
    <w:rPr>
      <w:rFonts w:ascii="Tahoma" w:hAnsi="Tahoma" w:cs="Tahoma"/>
      <w:sz w:val="16"/>
      <w:szCs w:val="16"/>
    </w:rPr>
  </w:style>
  <w:style w:type="character" w:customStyle="1" w:styleId="BalloonTextChar">
    <w:name w:val="Balloon Text Char"/>
    <w:basedOn w:val="DefaultParagraphFont"/>
    <w:link w:val="BalloonText"/>
    <w:uiPriority w:val="99"/>
    <w:semiHidden/>
    <w:rsid w:val="00AB7062"/>
    <w:rPr>
      <w:rFonts w:ascii="Tahoma" w:hAnsi="Tahoma" w:cs="Tahoma"/>
      <w:sz w:val="16"/>
      <w:szCs w:val="16"/>
    </w:rPr>
  </w:style>
  <w:style w:type="character" w:styleId="CommentReference">
    <w:name w:val="annotation reference"/>
    <w:basedOn w:val="DefaultParagraphFont"/>
    <w:uiPriority w:val="99"/>
    <w:semiHidden/>
    <w:unhideWhenUsed/>
    <w:rsid w:val="001A672E"/>
    <w:rPr>
      <w:sz w:val="16"/>
      <w:szCs w:val="16"/>
    </w:rPr>
  </w:style>
  <w:style w:type="paragraph" w:styleId="CommentText">
    <w:name w:val="annotation text"/>
    <w:basedOn w:val="Normal"/>
    <w:link w:val="CommentTextChar"/>
    <w:uiPriority w:val="99"/>
    <w:semiHidden/>
    <w:unhideWhenUsed/>
    <w:rsid w:val="001A672E"/>
    <w:rPr>
      <w:sz w:val="20"/>
      <w:szCs w:val="20"/>
    </w:rPr>
  </w:style>
  <w:style w:type="character" w:customStyle="1" w:styleId="CommentTextChar">
    <w:name w:val="Comment Text Char"/>
    <w:basedOn w:val="DefaultParagraphFont"/>
    <w:link w:val="CommentText"/>
    <w:uiPriority w:val="99"/>
    <w:semiHidden/>
    <w:rsid w:val="001A67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672E"/>
    <w:rPr>
      <w:b/>
      <w:bCs/>
    </w:rPr>
  </w:style>
  <w:style w:type="character" w:customStyle="1" w:styleId="CommentSubjectChar">
    <w:name w:val="Comment Subject Char"/>
    <w:basedOn w:val="CommentTextChar"/>
    <w:link w:val="CommentSubject"/>
    <w:uiPriority w:val="99"/>
    <w:semiHidden/>
    <w:rsid w:val="001A672E"/>
    <w:rPr>
      <w:rFonts w:ascii="Calibri" w:hAnsi="Calibri" w:cs="Calibri"/>
      <w:b/>
      <w:bCs/>
      <w:sz w:val="20"/>
      <w:szCs w:val="20"/>
    </w:rPr>
  </w:style>
  <w:style w:type="character" w:styleId="FollowedHyperlink">
    <w:name w:val="FollowedHyperlink"/>
    <w:basedOn w:val="DefaultParagraphFont"/>
    <w:uiPriority w:val="99"/>
    <w:semiHidden/>
    <w:unhideWhenUsed/>
    <w:rsid w:val="00FC29FA"/>
    <w:rPr>
      <w:color w:val="954F72" w:themeColor="followedHyperlink"/>
      <w:u w:val="single"/>
    </w:rPr>
  </w:style>
  <w:style w:type="paragraph" w:customStyle="1" w:styleId="Default">
    <w:name w:val="Default"/>
    <w:rsid w:val="00FC29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6338">
      <w:bodyDiv w:val="1"/>
      <w:marLeft w:val="0"/>
      <w:marRight w:val="0"/>
      <w:marTop w:val="0"/>
      <w:marBottom w:val="0"/>
      <w:divBdr>
        <w:top w:val="none" w:sz="0" w:space="0" w:color="auto"/>
        <w:left w:val="none" w:sz="0" w:space="0" w:color="auto"/>
        <w:bottom w:val="none" w:sz="0" w:space="0" w:color="auto"/>
        <w:right w:val="none" w:sz="0" w:space="0" w:color="auto"/>
      </w:divBdr>
    </w:div>
    <w:div w:id="148404947">
      <w:bodyDiv w:val="1"/>
      <w:marLeft w:val="0"/>
      <w:marRight w:val="0"/>
      <w:marTop w:val="0"/>
      <w:marBottom w:val="0"/>
      <w:divBdr>
        <w:top w:val="none" w:sz="0" w:space="0" w:color="auto"/>
        <w:left w:val="none" w:sz="0" w:space="0" w:color="auto"/>
        <w:bottom w:val="none" w:sz="0" w:space="0" w:color="auto"/>
        <w:right w:val="none" w:sz="0" w:space="0" w:color="auto"/>
      </w:divBdr>
    </w:div>
    <w:div w:id="492836070">
      <w:bodyDiv w:val="1"/>
      <w:marLeft w:val="0"/>
      <w:marRight w:val="0"/>
      <w:marTop w:val="0"/>
      <w:marBottom w:val="0"/>
      <w:divBdr>
        <w:top w:val="none" w:sz="0" w:space="0" w:color="auto"/>
        <w:left w:val="none" w:sz="0" w:space="0" w:color="auto"/>
        <w:bottom w:val="none" w:sz="0" w:space="0" w:color="auto"/>
        <w:right w:val="none" w:sz="0" w:space="0" w:color="auto"/>
      </w:divBdr>
    </w:div>
    <w:div w:id="605120936">
      <w:bodyDiv w:val="1"/>
      <w:marLeft w:val="0"/>
      <w:marRight w:val="0"/>
      <w:marTop w:val="0"/>
      <w:marBottom w:val="0"/>
      <w:divBdr>
        <w:top w:val="none" w:sz="0" w:space="0" w:color="auto"/>
        <w:left w:val="none" w:sz="0" w:space="0" w:color="auto"/>
        <w:bottom w:val="none" w:sz="0" w:space="0" w:color="auto"/>
        <w:right w:val="none" w:sz="0" w:space="0" w:color="auto"/>
      </w:divBdr>
    </w:div>
    <w:div w:id="770467664">
      <w:bodyDiv w:val="1"/>
      <w:marLeft w:val="0"/>
      <w:marRight w:val="0"/>
      <w:marTop w:val="0"/>
      <w:marBottom w:val="0"/>
      <w:divBdr>
        <w:top w:val="none" w:sz="0" w:space="0" w:color="auto"/>
        <w:left w:val="none" w:sz="0" w:space="0" w:color="auto"/>
        <w:bottom w:val="none" w:sz="0" w:space="0" w:color="auto"/>
        <w:right w:val="none" w:sz="0" w:space="0" w:color="auto"/>
      </w:divBdr>
    </w:div>
    <w:div w:id="794100602">
      <w:bodyDiv w:val="1"/>
      <w:marLeft w:val="0"/>
      <w:marRight w:val="0"/>
      <w:marTop w:val="0"/>
      <w:marBottom w:val="0"/>
      <w:divBdr>
        <w:top w:val="none" w:sz="0" w:space="0" w:color="auto"/>
        <w:left w:val="none" w:sz="0" w:space="0" w:color="auto"/>
        <w:bottom w:val="none" w:sz="0" w:space="0" w:color="auto"/>
        <w:right w:val="none" w:sz="0" w:space="0" w:color="auto"/>
      </w:divBdr>
    </w:div>
    <w:div w:id="812285852">
      <w:bodyDiv w:val="1"/>
      <w:marLeft w:val="0"/>
      <w:marRight w:val="0"/>
      <w:marTop w:val="0"/>
      <w:marBottom w:val="0"/>
      <w:divBdr>
        <w:top w:val="none" w:sz="0" w:space="0" w:color="auto"/>
        <w:left w:val="none" w:sz="0" w:space="0" w:color="auto"/>
        <w:bottom w:val="none" w:sz="0" w:space="0" w:color="auto"/>
        <w:right w:val="none" w:sz="0" w:space="0" w:color="auto"/>
      </w:divBdr>
    </w:div>
    <w:div w:id="1044207999">
      <w:bodyDiv w:val="1"/>
      <w:marLeft w:val="0"/>
      <w:marRight w:val="0"/>
      <w:marTop w:val="0"/>
      <w:marBottom w:val="0"/>
      <w:divBdr>
        <w:top w:val="none" w:sz="0" w:space="0" w:color="auto"/>
        <w:left w:val="none" w:sz="0" w:space="0" w:color="auto"/>
        <w:bottom w:val="none" w:sz="0" w:space="0" w:color="auto"/>
        <w:right w:val="none" w:sz="0" w:space="0" w:color="auto"/>
      </w:divBdr>
    </w:div>
    <w:div w:id="1101023042">
      <w:bodyDiv w:val="1"/>
      <w:marLeft w:val="0"/>
      <w:marRight w:val="0"/>
      <w:marTop w:val="0"/>
      <w:marBottom w:val="0"/>
      <w:divBdr>
        <w:top w:val="none" w:sz="0" w:space="0" w:color="auto"/>
        <w:left w:val="none" w:sz="0" w:space="0" w:color="auto"/>
        <w:bottom w:val="none" w:sz="0" w:space="0" w:color="auto"/>
        <w:right w:val="none" w:sz="0" w:space="0" w:color="auto"/>
      </w:divBdr>
    </w:div>
    <w:div w:id="1165393733">
      <w:bodyDiv w:val="1"/>
      <w:marLeft w:val="0"/>
      <w:marRight w:val="0"/>
      <w:marTop w:val="0"/>
      <w:marBottom w:val="0"/>
      <w:divBdr>
        <w:top w:val="none" w:sz="0" w:space="0" w:color="auto"/>
        <w:left w:val="none" w:sz="0" w:space="0" w:color="auto"/>
        <w:bottom w:val="none" w:sz="0" w:space="0" w:color="auto"/>
        <w:right w:val="none" w:sz="0" w:space="0" w:color="auto"/>
      </w:divBdr>
    </w:div>
    <w:div w:id="1552036102">
      <w:bodyDiv w:val="1"/>
      <w:marLeft w:val="0"/>
      <w:marRight w:val="0"/>
      <w:marTop w:val="0"/>
      <w:marBottom w:val="0"/>
      <w:divBdr>
        <w:top w:val="none" w:sz="0" w:space="0" w:color="auto"/>
        <w:left w:val="none" w:sz="0" w:space="0" w:color="auto"/>
        <w:bottom w:val="none" w:sz="0" w:space="0" w:color="auto"/>
        <w:right w:val="none" w:sz="0" w:space="0" w:color="auto"/>
      </w:divBdr>
    </w:div>
    <w:div w:id="1567180626">
      <w:bodyDiv w:val="1"/>
      <w:marLeft w:val="0"/>
      <w:marRight w:val="0"/>
      <w:marTop w:val="0"/>
      <w:marBottom w:val="0"/>
      <w:divBdr>
        <w:top w:val="none" w:sz="0" w:space="0" w:color="auto"/>
        <w:left w:val="none" w:sz="0" w:space="0" w:color="auto"/>
        <w:bottom w:val="none" w:sz="0" w:space="0" w:color="auto"/>
        <w:right w:val="none" w:sz="0" w:space="0" w:color="auto"/>
      </w:divBdr>
    </w:div>
    <w:div w:id="1688480347">
      <w:bodyDiv w:val="1"/>
      <w:marLeft w:val="0"/>
      <w:marRight w:val="0"/>
      <w:marTop w:val="0"/>
      <w:marBottom w:val="0"/>
      <w:divBdr>
        <w:top w:val="none" w:sz="0" w:space="0" w:color="auto"/>
        <w:left w:val="none" w:sz="0" w:space="0" w:color="auto"/>
        <w:bottom w:val="none" w:sz="0" w:space="0" w:color="auto"/>
        <w:right w:val="none" w:sz="0" w:space="0" w:color="auto"/>
      </w:divBdr>
    </w:div>
    <w:div w:id="1712654330">
      <w:bodyDiv w:val="1"/>
      <w:marLeft w:val="0"/>
      <w:marRight w:val="0"/>
      <w:marTop w:val="0"/>
      <w:marBottom w:val="0"/>
      <w:divBdr>
        <w:top w:val="none" w:sz="0" w:space="0" w:color="auto"/>
        <w:left w:val="none" w:sz="0" w:space="0" w:color="auto"/>
        <w:bottom w:val="none" w:sz="0" w:space="0" w:color="auto"/>
        <w:right w:val="none" w:sz="0" w:space="0" w:color="auto"/>
      </w:divBdr>
    </w:div>
    <w:div w:id="1777021914">
      <w:bodyDiv w:val="1"/>
      <w:marLeft w:val="0"/>
      <w:marRight w:val="0"/>
      <w:marTop w:val="0"/>
      <w:marBottom w:val="0"/>
      <w:divBdr>
        <w:top w:val="none" w:sz="0" w:space="0" w:color="auto"/>
        <w:left w:val="none" w:sz="0" w:space="0" w:color="auto"/>
        <w:bottom w:val="none" w:sz="0" w:space="0" w:color="auto"/>
        <w:right w:val="none" w:sz="0" w:space="0" w:color="auto"/>
      </w:divBdr>
    </w:div>
    <w:div w:id="1949654584">
      <w:bodyDiv w:val="1"/>
      <w:marLeft w:val="0"/>
      <w:marRight w:val="0"/>
      <w:marTop w:val="0"/>
      <w:marBottom w:val="0"/>
      <w:divBdr>
        <w:top w:val="none" w:sz="0" w:space="0" w:color="auto"/>
        <w:left w:val="none" w:sz="0" w:space="0" w:color="auto"/>
        <w:bottom w:val="none" w:sz="0" w:space="0" w:color="auto"/>
        <w:right w:val="none" w:sz="0" w:space="0" w:color="auto"/>
      </w:divBdr>
    </w:div>
    <w:div w:id="19637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oceanicblog.wordpress.com/2019/08/08/finalists-for-the-3rd-scottish-womens-awards-2019-are-reveal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cot/publications/local-housing-strategy-guidance-2019/" TargetMode="External"/><Relationship Id="rId4" Type="http://schemas.openxmlformats.org/officeDocument/2006/relationships/settings" Target="settings.xml"/><Relationship Id="rId9" Type="http://schemas.openxmlformats.org/officeDocument/2006/relationships/hyperlink" Target="mailto:nhs.healthscotland-ceopapersubmission@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5FA7-FBB6-4FE2-8D1E-31F67B7A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Kerrigan</dc:creator>
  <cp:keywords/>
  <dc:description/>
  <cp:lastModifiedBy>Marie Kerrigan</cp:lastModifiedBy>
  <cp:revision>12</cp:revision>
  <cp:lastPrinted>2019-09-20T09:36:00Z</cp:lastPrinted>
  <dcterms:created xsi:type="dcterms:W3CDTF">2019-09-18T15:03:00Z</dcterms:created>
  <dcterms:modified xsi:type="dcterms:W3CDTF">2019-09-20T15:39:00Z</dcterms:modified>
</cp:coreProperties>
</file>