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F2" w:rsidRPr="00410739" w:rsidRDefault="004361F2" w:rsidP="00E04B83">
      <w:pPr>
        <w:spacing w:beforeLines="20" w:before="48" w:after="0" w:line="276" w:lineRule="auto"/>
        <w:jc w:val="right"/>
      </w:pPr>
      <w:r w:rsidRPr="00410739">
        <w:rPr>
          <w:noProof/>
        </w:rPr>
        <w:drawing>
          <wp:inline distT="0" distB="0" distL="0" distR="0" wp14:anchorId="5B26EFC3" wp14:editId="7FC8E1A1">
            <wp:extent cx="997585" cy="866775"/>
            <wp:effectExtent l="0" t="0" r="0" b="9525"/>
            <wp:docPr id="2"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585" cy="866775"/>
                    </a:xfrm>
                    <a:prstGeom prst="rect">
                      <a:avLst/>
                    </a:prstGeom>
                    <a:noFill/>
                    <a:ln>
                      <a:noFill/>
                    </a:ln>
                  </pic:spPr>
                </pic:pic>
              </a:graphicData>
            </a:graphic>
          </wp:inline>
        </w:drawing>
      </w:r>
    </w:p>
    <w:p w:rsidR="004361F2" w:rsidRPr="00410739" w:rsidRDefault="004361F2" w:rsidP="00E04B83">
      <w:pPr>
        <w:spacing w:beforeLines="20" w:before="48" w:after="0" w:line="276" w:lineRule="auto"/>
        <w:jc w:val="right"/>
      </w:pPr>
    </w:p>
    <w:p w:rsidR="004361F2" w:rsidRPr="00410739" w:rsidRDefault="004361F2" w:rsidP="00E04B83">
      <w:pPr>
        <w:spacing w:beforeLines="20" w:before="48" w:after="0" w:line="276" w:lineRule="auto"/>
        <w:jc w:val="right"/>
      </w:pPr>
    </w:p>
    <w:p w:rsidR="004361F2" w:rsidRPr="00E205B7" w:rsidRDefault="00332A64" w:rsidP="00E04B83">
      <w:pPr>
        <w:spacing w:beforeLines="20" w:before="48" w:after="0" w:line="276" w:lineRule="auto"/>
        <w:jc w:val="right"/>
        <w:rPr>
          <w:b/>
        </w:rPr>
      </w:pPr>
      <w:r>
        <w:rPr>
          <w:b/>
        </w:rPr>
        <w:t>HS</w:t>
      </w:r>
      <w:r w:rsidR="004361F2" w:rsidRPr="00E205B7">
        <w:rPr>
          <w:b/>
        </w:rPr>
        <w:t xml:space="preserve"> Paper </w:t>
      </w:r>
      <w:r>
        <w:rPr>
          <w:b/>
        </w:rPr>
        <w:t>38/19</w:t>
      </w:r>
    </w:p>
    <w:p w:rsidR="004361F2" w:rsidRPr="00410739" w:rsidRDefault="004361F2" w:rsidP="00E04B83">
      <w:pPr>
        <w:spacing w:beforeLines="20" w:before="48" w:after="0" w:line="276" w:lineRule="auto"/>
        <w:jc w:val="right"/>
      </w:pPr>
    </w:p>
    <w:p w:rsidR="004361F2" w:rsidRPr="00410739" w:rsidRDefault="004361F2" w:rsidP="00E04B83">
      <w:pPr>
        <w:spacing w:beforeLines="20" w:before="48" w:after="0" w:line="276" w:lineRule="auto"/>
      </w:pPr>
    </w:p>
    <w:p w:rsidR="004361F2" w:rsidRPr="00137765" w:rsidRDefault="001E57FA" w:rsidP="00137765">
      <w:pPr>
        <w:pStyle w:val="Ahead"/>
        <w:spacing w:after="0"/>
        <w:rPr>
          <w:sz w:val="28"/>
          <w:szCs w:val="28"/>
        </w:rPr>
      </w:pPr>
      <w:r w:rsidRPr="00137765">
        <w:rPr>
          <w:sz w:val="28"/>
          <w:szCs w:val="28"/>
        </w:rPr>
        <w:t>B</w:t>
      </w:r>
      <w:r w:rsidR="00E16571" w:rsidRPr="00137765">
        <w:rPr>
          <w:sz w:val="28"/>
          <w:szCs w:val="28"/>
        </w:rPr>
        <w:t>oard Meeting</w:t>
      </w:r>
      <w:r w:rsidRPr="00137765">
        <w:rPr>
          <w:sz w:val="28"/>
          <w:szCs w:val="28"/>
        </w:rPr>
        <w:t>: 27 September 2019</w:t>
      </w:r>
    </w:p>
    <w:p w:rsidR="00137765" w:rsidRDefault="00137765" w:rsidP="001E57FA">
      <w:pPr>
        <w:spacing w:before="0" w:after="0" w:line="259" w:lineRule="auto"/>
        <w:rPr>
          <w:rFonts w:eastAsiaTheme="minorHAnsi"/>
          <w:b/>
          <w:bCs/>
          <w:lang w:eastAsia="en-US"/>
        </w:rPr>
      </w:pPr>
    </w:p>
    <w:p w:rsidR="001E57FA" w:rsidRPr="001E57FA" w:rsidRDefault="001E57FA" w:rsidP="001E57FA">
      <w:pPr>
        <w:spacing w:before="0" w:after="0" w:line="259" w:lineRule="auto"/>
        <w:rPr>
          <w:rFonts w:asciiTheme="minorHAnsi" w:eastAsiaTheme="minorHAnsi" w:hAnsiTheme="minorHAnsi" w:cstheme="minorBidi"/>
          <w:sz w:val="22"/>
          <w:szCs w:val="22"/>
          <w:lang w:eastAsia="en-US"/>
        </w:rPr>
      </w:pPr>
      <w:r w:rsidRPr="001E57FA">
        <w:rPr>
          <w:rFonts w:eastAsiaTheme="minorHAnsi"/>
          <w:b/>
          <w:bCs/>
          <w:lang w:eastAsia="en-US"/>
        </w:rPr>
        <w:t xml:space="preserve">We are working towards all our publications being available in an accessible format.  In the meantime if you require this paper in a more accessible format, please contact us using this email address </w:t>
      </w:r>
      <w:hyperlink r:id="rId12" w:history="1">
        <w:r w:rsidRPr="001E57FA">
          <w:rPr>
            <w:rFonts w:eastAsiaTheme="minorHAnsi"/>
            <w:b/>
            <w:bCs/>
            <w:color w:val="0563C1" w:themeColor="hyperlink"/>
            <w:u w:val="single"/>
            <w:lang w:eastAsia="en-US"/>
          </w:rPr>
          <w:t>nhs.healthscotland-ceo@nhs.net</w:t>
        </w:r>
      </w:hyperlink>
    </w:p>
    <w:p w:rsidR="004361F2" w:rsidRPr="00410739" w:rsidRDefault="004361F2" w:rsidP="00E04B83">
      <w:pPr>
        <w:spacing w:beforeLines="20" w:before="48" w:after="0" w:line="276" w:lineRule="auto"/>
      </w:pPr>
    </w:p>
    <w:p w:rsidR="004361F2" w:rsidRDefault="00776A5C" w:rsidP="00E04B83">
      <w:pPr>
        <w:spacing w:beforeLines="20" w:before="48" w:after="0" w:line="276" w:lineRule="auto"/>
        <w:rPr>
          <w:b/>
        </w:rPr>
      </w:pPr>
      <w:r>
        <w:rPr>
          <w:b/>
        </w:rPr>
        <w:t>Q</w:t>
      </w:r>
      <w:r w:rsidR="00876C48">
        <w:rPr>
          <w:b/>
        </w:rPr>
        <w:t>uarter 1</w:t>
      </w:r>
      <w:r w:rsidR="00AF68F3" w:rsidRPr="00677455">
        <w:rPr>
          <w:b/>
        </w:rPr>
        <w:t xml:space="preserve"> P</w:t>
      </w:r>
      <w:r w:rsidR="00876C48">
        <w:rPr>
          <w:b/>
        </w:rPr>
        <w:t>erformance Report</w:t>
      </w:r>
    </w:p>
    <w:p w:rsidR="00876C48" w:rsidRPr="00410739" w:rsidRDefault="00876C48" w:rsidP="00E04B83">
      <w:pPr>
        <w:spacing w:beforeLines="20" w:before="48" w:after="0" w:line="276" w:lineRule="auto"/>
      </w:pPr>
    </w:p>
    <w:p w:rsidR="004361F2" w:rsidRPr="001D3AF9" w:rsidRDefault="004361F2" w:rsidP="001D3AF9">
      <w:pPr>
        <w:pStyle w:val="Heading2"/>
        <w:rPr>
          <w:rFonts w:ascii="Arial" w:eastAsia="Times New Roman" w:hAnsi="Arial" w:cs="Arial"/>
          <w:b/>
          <w:bCs/>
          <w:color w:val="auto"/>
          <w:sz w:val="24"/>
          <w:szCs w:val="24"/>
        </w:rPr>
      </w:pPr>
      <w:r w:rsidRPr="001D3AF9">
        <w:rPr>
          <w:rFonts w:ascii="Arial" w:hAnsi="Arial" w:cs="Arial"/>
          <w:b/>
          <w:color w:val="auto"/>
          <w:sz w:val="24"/>
          <w:szCs w:val="24"/>
        </w:rPr>
        <w:t>Recommen</w:t>
      </w:r>
      <w:bookmarkStart w:id="0" w:name="_GoBack"/>
      <w:bookmarkEnd w:id="0"/>
      <w:r w:rsidRPr="001D3AF9">
        <w:rPr>
          <w:rFonts w:ascii="Arial" w:hAnsi="Arial" w:cs="Arial"/>
          <w:b/>
          <w:color w:val="auto"/>
          <w:sz w:val="24"/>
          <w:szCs w:val="24"/>
        </w:rPr>
        <w:t>dation/action required</w:t>
      </w:r>
      <w:r w:rsidRPr="001D3AF9">
        <w:rPr>
          <w:rFonts w:ascii="Arial" w:eastAsia="Times New Roman" w:hAnsi="Arial" w:cs="Arial"/>
          <w:b/>
          <w:bCs/>
          <w:color w:val="auto"/>
          <w:sz w:val="24"/>
          <w:szCs w:val="24"/>
        </w:rPr>
        <w:t>:</w:t>
      </w:r>
    </w:p>
    <w:p w:rsidR="00E04B83" w:rsidRPr="00410739" w:rsidRDefault="00E04B83" w:rsidP="00E04B83">
      <w:pPr>
        <w:spacing w:beforeLines="20" w:before="48" w:after="0" w:line="276" w:lineRule="auto"/>
        <w:rPr>
          <w:rFonts w:eastAsia="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361F2" w:rsidRPr="00410739" w:rsidTr="00AF68F3">
        <w:tc>
          <w:tcPr>
            <w:tcW w:w="8296" w:type="dxa"/>
            <w:tcBorders>
              <w:top w:val="single" w:sz="4" w:space="0" w:color="auto"/>
              <w:left w:val="single" w:sz="4" w:space="0" w:color="auto"/>
              <w:bottom w:val="single" w:sz="4" w:space="0" w:color="auto"/>
              <w:right w:val="single" w:sz="4" w:space="0" w:color="auto"/>
            </w:tcBorders>
            <w:hideMark/>
          </w:tcPr>
          <w:p w:rsidR="00776A5C" w:rsidRPr="00410739" w:rsidRDefault="005945D7" w:rsidP="00E04B83">
            <w:pPr>
              <w:spacing w:beforeLines="20" w:before="48" w:after="0" w:line="276" w:lineRule="auto"/>
            </w:pPr>
            <w:r>
              <w:t xml:space="preserve">The Board is invited </w:t>
            </w:r>
            <w:r w:rsidR="00776A5C" w:rsidRPr="00776A5C">
              <w:t>to consider that the report sufficiently assures them that the performance of the organisation is on track in line</w:t>
            </w:r>
            <w:r w:rsidR="00776A5C">
              <w:t xml:space="preserve"> with the delivery plan for 2019/20</w:t>
            </w:r>
            <w:r w:rsidR="00776A5C" w:rsidRPr="00776A5C">
              <w:t xml:space="preserve"> and the priorities emerging as part of that plan and the changing transition context   </w:t>
            </w:r>
          </w:p>
        </w:tc>
      </w:tr>
    </w:tbl>
    <w:p w:rsidR="004361F2" w:rsidRPr="00410739" w:rsidRDefault="004361F2" w:rsidP="00E04B83">
      <w:pPr>
        <w:spacing w:beforeLines="20" w:before="48" w:after="0" w:line="276" w:lineRule="auto"/>
      </w:pPr>
    </w:p>
    <w:p w:rsidR="004361F2" w:rsidRDefault="004361F2" w:rsidP="00E04B83">
      <w:pPr>
        <w:spacing w:beforeLines="20" w:before="48" w:after="0" w:line="276" w:lineRule="auto"/>
      </w:pPr>
      <w:r w:rsidRPr="00410739">
        <w:t>Author:</w:t>
      </w:r>
      <w:r w:rsidRPr="00410739">
        <w:tab/>
      </w:r>
      <w:r w:rsidRPr="00410739">
        <w:tab/>
      </w:r>
      <w:r w:rsidRPr="00410739">
        <w:tab/>
      </w:r>
      <w:r w:rsidRPr="00410739">
        <w:tab/>
      </w:r>
      <w:r w:rsidRPr="00410739">
        <w:tab/>
        <w:t>Sponsoring Director:</w:t>
      </w:r>
    </w:p>
    <w:p w:rsidR="00E04B83" w:rsidRPr="00410739" w:rsidRDefault="00E04B83" w:rsidP="00E04B83">
      <w:pPr>
        <w:spacing w:beforeLines="20" w:before="48"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53"/>
      </w:tblGrid>
      <w:tr w:rsidR="004361F2" w:rsidRPr="00410739" w:rsidTr="00EF6381">
        <w:tc>
          <w:tcPr>
            <w:tcW w:w="4608" w:type="dxa"/>
            <w:tcBorders>
              <w:top w:val="single" w:sz="4" w:space="0" w:color="auto"/>
              <w:left w:val="single" w:sz="4" w:space="0" w:color="auto"/>
              <w:bottom w:val="single" w:sz="4" w:space="0" w:color="auto"/>
              <w:right w:val="single" w:sz="4" w:space="0" w:color="auto"/>
            </w:tcBorders>
            <w:hideMark/>
          </w:tcPr>
          <w:p w:rsidR="002971D8" w:rsidRDefault="002971D8" w:rsidP="00E04B83">
            <w:pPr>
              <w:spacing w:beforeLines="20" w:before="48" w:after="0" w:line="276" w:lineRule="auto"/>
            </w:pPr>
            <w:r>
              <w:t xml:space="preserve">Robert Ross, Planning </w:t>
            </w:r>
            <w:r w:rsidR="00677455">
              <w:t xml:space="preserve">and Outcomes </w:t>
            </w:r>
            <w:r>
              <w:t>Officer</w:t>
            </w:r>
          </w:p>
          <w:p w:rsidR="004361F2" w:rsidRPr="00410739" w:rsidRDefault="002971D8" w:rsidP="00E04B83">
            <w:pPr>
              <w:spacing w:beforeLines="20" w:before="48" w:after="0" w:line="276" w:lineRule="auto"/>
            </w:pPr>
            <w:r>
              <w:t xml:space="preserve">Elspeth Molony, Organisational Lead for </w:t>
            </w:r>
            <w:r w:rsidR="00677455">
              <w:t>Policy and Outcomes</w:t>
            </w:r>
          </w:p>
        </w:tc>
        <w:tc>
          <w:tcPr>
            <w:tcW w:w="4736" w:type="dxa"/>
            <w:tcBorders>
              <w:top w:val="single" w:sz="4" w:space="0" w:color="auto"/>
              <w:left w:val="single" w:sz="4" w:space="0" w:color="auto"/>
              <w:bottom w:val="single" w:sz="4" w:space="0" w:color="auto"/>
              <w:right w:val="single" w:sz="4" w:space="0" w:color="auto"/>
            </w:tcBorders>
            <w:hideMark/>
          </w:tcPr>
          <w:p w:rsidR="004361F2" w:rsidRPr="00410739" w:rsidRDefault="004361F2" w:rsidP="00E04B83">
            <w:pPr>
              <w:spacing w:beforeLines="20" w:before="48" w:after="0" w:line="276" w:lineRule="auto"/>
            </w:pPr>
            <w:r w:rsidRPr="00410739">
              <w:t>Cath Denholm</w:t>
            </w:r>
          </w:p>
          <w:p w:rsidR="004361F2" w:rsidRPr="00410739" w:rsidRDefault="004361F2" w:rsidP="00E04B83">
            <w:pPr>
              <w:spacing w:beforeLines="20" w:before="48" w:after="0" w:line="276" w:lineRule="auto"/>
              <w:rPr>
                <w:b/>
              </w:rPr>
            </w:pPr>
            <w:r w:rsidRPr="00410739">
              <w:t>Director of Strategy</w:t>
            </w:r>
          </w:p>
        </w:tc>
      </w:tr>
    </w:tbl>
    <w:p w:rsidR="004361F2" w:rsidRPr="00410739" w:rsidRDefault="004361F2" w:rsidP="00E04B83">
      <w:pPr>
        <w:spacing w:beforeLines="20" w:before="48" w:after="0" w:line="276" w:lineRule="auto"/>
      </w:pPr>
    </w:p>
    <w:p w:rsidR="004361F2" w:rsidRDefault="00744A4E" w:rsidP="00E04B83">
      <w:pPr>
        <w:spacing w:beforeLines="20" w:before="48" w:after="0" w:line="276" w:lineRule="auto"/>
        <w:sectPr w:rsidR="004361F2">
          <w:footerReference w:type="default" r:id="rId13"/>
          <w:pgSz w:w="11906" w:h="16838"/>
          <w:pgMar w:top="1440" w:right="1800" w:bottom="1440" w:left="1800" w:header="708" w:footer="708" w:gutter="0"/>
          <w:cols w:space="708"/>
          <w:docGrid w:linePitch="360"/>
        </w:sectPr>
      </w:pPr>
      <w:r>
        <w:t>A</w:t>
      </w:r>
      <w:r w:rsidR="00731076">
        <w:t>ugust</w:t>
      </w:r>
      <w:r w:rsidR="002971D8">
        <w:t xml:space="preserve"> 2019</w:t>
      </w:r>
    </w:p>
    <w:p w:rsidR="0003394E" w:rsidRPr="006846DF" w:rsidRDefault="00776A5C" w:rsidP="00E04B83">
      <w:pPr>
        <w:spacing w:beforeLines="20" w:before="48" w:after="0" w:line="276" w:lineRule="auto"/>
        <w:rPr>
          <w:rFonts w:eastAsiaTheme="minorHAnsi"/>
          <w:b/>
          <w:sz w:val="36"/>
        </w:rPr>
      </w:pPr>
      <w:r>
        <w:rPr>
          <w:rFonts w:eastAsiaTheme="minorHAnsi"/>
          <w:b/>
          <w:sz w:val="36"/>
        </w:rPr>
        <w:lastRenderedPageBreak/>
        <w:t>QUARTER 1</w:t>
      </w:r>
      <w:r w:rsidR="0003394E" w:rsidRPr="006846DF">
        <w:rPr>
          <w:rFonts w:eastAsiaTheme="minorHAnsi"/>
          <w:b/>
          <w:sz w:val="36"/>
        </w:rPr>
        <w:t xml:space="preserve"> PERFORMANCE REPORT </w:t>
      </w:r>
    </w:p>
    <w:p w:rsidR="0003394E" w:rsidRDefault="0003394E" w:rsidP="00E04B83">
      <w:pPr>
        <w:spacing w:beforeLines="20" w:before="48" w:after="0" w:line="276" w:lineRule="auto"/>
        <w:rPr>
          <w:rFonts w:eastAsiaTheme="minorHAnsi"/>
          <w:b/>
          <w:sz w:val="40"/>
        </w:rPr>
      </w:pPr>
    </w:p>
    <w:sdt>
      <w:sdtPr>
        <w:rPr>
          <w:rFonts w:eastAsia="Calibri" w:cs="Arial"/>
          <w:b w:val="0"/>
          <w:sz w:val="24"/>
          <w:szCs w:val="24"/>
          <w:lang w:val="en-GB" w:eastAsia="en-GB"/>
        </w:rPr>
        <w:id w:val="179785351"/>
        <w:docPartObj>
          <w:docPartGallery w:val="Table of Contents"/>
          <w:docPartUnique/>
        </w:docPartObj>
      </w:sdtPr>
      <w:sdtEndPr>
        <w:rPr>
          <w:bCs/>
          <w:noProof/>
        </w:rPr>
      </w:sdtEndPr>
      <w:sdtContent>
        <w:p w:rsidR="004361F2" w:rsidRPr="00024220" w:rsidRDefault="004361F2" w:rsidP="00E04B83">
          <w:pPr>
            <w:pStyle w:val="TOCHeading"/>
            <w:spacing w:beforeLines="20" w:before="48" w:line="276" w:lineRule="auto"/>
          </w:pPr>
          <w:r w:rsidRPr="00024220">
            <w:rPr>
              <w:rStyle w:val="CheadChar"/>
            </w:rPr>
            <w:t>Contents</w:t>
          </w:r>
        </w:p>
        <w:p w:rsidR="00744A4E" w:rsidRDefault="004361F2">
          <w:pPr>
            <w:pStyle w:val="TOC1"/>
            <w:tabs>
              <w:tab w:val="right" w:leader="dot" w:pos="8296"/>
            </w:tabs>
            <w:rPr>
              <w:rFonts w:asciiTheme="minorHAnsi" w:eastAsiaTheme="minorEastAsia" w:hAnsiTheme="minorHAnsi" w:cstheme="minorBidi"/>
              <w:noProof/>
              <w:sz w:val="22"/>
              <w:szCs w:val="22"/>
            </w:rPr>
          </w:pPr>
          <w:r w:rsidRPr="00024220">
            <w:fldChar w:fldCharType="begin"/>
          </w:r>
          <w:r w:rsidRPr="00024220">
            <w:instrText xml:space="preserve"> TOC \o "1-3" \h \z \u </w:instrText>
          </w:r>
          <w:r w:rsidRPr="00024220">
            <w:fldChar w:fldCharType="separate"/>
          </w:r>
          <w:hyperlink w:anchor="_Toc18312833" w:history="1">
            <w:r w:rsidR="00744A4E" w:rsidRPr="00DD31FF">
              <w:rPr>
                <w:rStyle w:val="Hyperlink"/>
              </w:rPr>
              <w:t>Part 1: Overview of Quarter One</w:t>
            </w:r>
            <w:r w:rsidR="00744A4E">
              <w:rPr>
                <w:noProof/>
                <w:webHidden/>
              </w:rPr>
              <w:tab/>
            </w:r>
            <w:r w:rsidR="00744A4E">
              <w:rPr>
                <w:noProof/>
                <w:webHidden/>
              </w:rPr>
              <w:fldChar w:fldCharType="begin"/>
            </w:r>
            <w:r w:rsidR="00744A4E">
              <w:rPr>
                <w:noProof/>
                <w:webHidden/>
              </w:rPr>
              <w:instrText xml:space="preserve"> PAGEREF _Toc18312833 \h </w:instrText>
            </w:r>
            <w:r w:rsidR="00744A4E">
              <w:rPr>
                <w:noProof/>
                <w:webHidden/>
              </w:rPr>
            </w:r>
            <w:r w:rsidR="00744A4E">
              <w:rPr>
                <w:noProof/>
                <w:webHidden/>
              </w:rPr>
              <w:fldChar w:fldCharType="separate"/>
            </w:r>
            <w:r w:rsidR="00744A4E">
              <w:rPr>
                <w:noProof/>
                <w:webHidden/>
              </w:rPr>
              <w:t>3</w:t>
            </w:r>
            <w:r w:rsidR="00744A4E">
              <w:rPr>
                <w:noProof/>
                <w:webHidden/>
              </w:rPr>
              <w:fldChar w:fldCharType="end"/>
            </w:r>
          </w:hyperlink>
        </w:p>
        <w:p w:rsidR="00744A4E" w:rsidRDefault="001D3AF9">
          <w:pPr>
            <w:pStyle w:val="TOC1"/>
            <w:tabs>
              <w:tab w:val="right" w:leader="dot" w:pos="8296"/>
            </w:tabs>
            <w:rPr>
              <w:rFonts w:asciiTheme="minorHAnsi" w:eastAsiaTheme="minorEastAsia" w:hAnsiTheme="minorHAnsi" w:cstheme="minorBidi"/>
              <w:noProof/>
              <w:sz w:val="22"/>
              <w:szCs w:val="22"/>
            </w:rPr>
          </w:pPr>
          <w:hyperlink w:anchor="_Toc18312834" w:history="1">
            <w:r w:rsidR="00744A4E" w:rsidRPr="00DD31FF">
              <w:rPr>
                <w:rStyle w:val="Hyperlink"/>
              </w:rPr>
              <w:t>Part 2: Strategic Priority Update</w:t>
            </w:r>
            <w:r w:rsidR="00744A4E">
              <w:rPr>
                <w:noProof/>
                <w:webHidden/>
              </w:rPr>
              <w:tab/>
            </w:r>
            <w:r w:rsidR="00744A4E">
              <w:rPr>
                <w:noProof/>
                <w:webHidden/>
              </w:rPr>
              <w:fldChar w:fldCharType="begin"/>
            </w:r>
            <w:r w:rsidR="00744A4E">
              <w:rPr>
                <w:noProof/>
                <w:webHidden/>
              </w:rPr>
              <w:instrText xml:space="preserve"> PAGEREF _Toc18312834 \h </w:instrText>
            </w:r>
            <w:r w:rsidR="00744A4E">
              <w:rPr>
                <w:noProof/>
                <w:webHidden/>
              </w:rPr>
            </w:r>
            <w:r w:rsidR="00744A4E">
              <w:rPr>
                <w:noProof/>
                <w:webHidden/>
              </w:rPr>
              <w:fldChar w:fldCharType="separate"/>
            </w:r>
            <w:r w:rsidR="00744A4E">
              <w:rPr>
                <w:noProof/>
                <w:webHidden/>
              </w:rPr>
              <w:t>4</w:t>
            </w:r>
            <w:r w:rsidR="00744A4E">
              <w:rPr>
                <w:noProof/>
                <w:webHidden/>
              </w:rPr>
              <w:fldChar w:fldCharType="end"/>
            </w:r>
          </w:hyperlink>
        </w:p>
        <w:p w:rsidR="00744A4E" w:rsidRDefault="001D3AF9">
          <w:pPr>
            <w:pStyle w:val="TOC2"/>
            <w:rPr>
              <w:rFonts w:asciiTheme="minorHAnsi" w:hAnsiTheme="minorHAnsi" w:cstheme="minorBidi"/>
            </w:rPr>
          </w:pPr>
          <w:hyperlink w:anchor="_Toc18312835" w:history="1">
            <w:r w:rsidR="00744A4E" w:rsidRPr="00DD31FF">
              <w:rPr>
                <w:rStyle w:val="Hyperlink"/>
              </w:rPr>
              <w:t>Strategic Priority 1: Fairer and Healthier Policy</w:t>
            </w:r>
            <w:r w:rsidR="00744A4E">
              <w:rPr>
                <w:webHidden/>
              </w:rPr>
              <w:tab/>
            </w:r>
            <w:r w:rsidR="00744A4E">
              <w:rPr>
                <w:webHidden/>
              </w:rPr>
              <w:fldChar w:fldCharType="begin"/>
            </w:r>
            <w:r w:rsidR="00744A4E">
              <w:rPr>
                <w:webHidden/>
              </w:rPr>
              <w:instrText xml:space="preserve"> PAGEREF _Toc18312835 \h </w:instrText>
            </w:r>
            <w:r w:rsidR="00744A4E">
              <w:rPr>
                <w:webHidden/>
              </w:rPr>
            </w:r>
            <w:r w:rsidR="00744A4E">
              <w:rPr>
                <w:webHidden/>
              </w:rPr>
              <w:fldChar w:fldCharType="separate"/>
            </w:r>
            <w:r w:rsidR="00744A4E">
              <w:rPr>
                <w:webHidden/>
              </w:rPr>
              <w:t>4</w:t>
            </w:r>
            <w:r w:rsidR="00744A4E">
              <w:rPr>
                <w:webHidden/>
              </w:rPr>
              <w:fldChar w:fldCharType="end"/>
            </w:r>
          </w:hyperlink>
        </w:p>
        <w:p w:rsidR="00744A4E" w:rsidRDefault="001D3AF9">
          <w:pPr>
            <w:pStyle w:val="TOC2"/>
            <w:rPr>
              <w:rFonts w:asciiTheme="minorHAnsi" w:hAnsiTheme="minorHAnsi" w:cstheme="minorBidi"/>
            </w:rPr>
          </w:pPr>
          <w:hyperlink w:anchor="_Toc18312836" w:history="1">
            <w:r w:rsidR="00744A4E" w:rsidRPr="00DD31FF">
              <w:rPr>
                <w:rStyle w:val="Hyperlink"/>
              </w:rPr>
              <w:t>Strategic Priority 2: Children, Young People and Families</w:t>
            </w:r>
            <w:r w:rsidR="00744A4E">
              <w:rPr>
                <w:webHidden/>
              </w:rPr>
              <w:tab/>
            </w:r>
            <w:r w:rsidR="00744A4E">
              <w:rPr>
                <w:webHidden/>
              </w:rPr>
              <w:fldChar w:fldCharType="begin"/>
            </w:r>
            <w:r w:rsidR="00744A4E">
              <w:rPr>
                <w:webHidden/>
              </w:rPr>
              <w:instrText xml:space="preserve"> PAGEREF _Toc18312836 \h </w:instrText>
            </w:r>
            <w:r w:rsidR="00744A4E">
              <w:rPr>
                <w:webHidden/>
              </w:rPr>
            </w:r>
            <w:r w:rsidR="00744A4E">
              <w:rPr>
                <w:webHidden/>
              </w:rPr>
              <w:fldChar w:fldCharType="separate"/>
            </w:r>
            <w:r w:rsidR="00744A4E">
              <w:rPr>
                <w:webHidden/>
              </w:rPr>
              <w:t>9</w:t>
            </w:r>
            <w:r w:rsidR="00744A4E">
              <w:rPr>
                <w:webHidden/>
              </w:rPr>
              <w:fldChar w:fldCharType="end"/>
            </w:r>
          </w:hyperlink>
        </w:p>
        <w:p w:rsidR="00744A4E" w:rsidRDefault="001D3AF9">
          <w:pPr>
            <w:pStyle w:val="TOC2"/>
            <w:rPr>
              <w:rFonts w:asciiTheme="minorHAnsi" w:hAnsiTheme="minorHAnsi" w:cstheme="minorBidi"/>
            </w:rPr>
          </w:pPr>
          <w:hyperlink w:anchor="_Toc18312837" w:history="1">
            <w:r w:rsidR="00744A4E" w:rsidRPr="00DD31FF">
              <w:rPr>
                <w:rStyle w:val="Hyperlink"/>
              </w:rPr>
              <w:t>Strategic Priority 3: A Fair and Inclusive Economy</w:t>
            </w:r>
            <w:r w:rsidR="00744A4E">
              <w:rPr>
                <w:webHidden/>
              </w:rPr>
              <w:tab/>
            </w:r>
            <w:r w:rsidR="00744A4E">
              <w:rPr>
                <w:webHidden/>
              </w:rPr>
              <w:fldChar w:fldCharType="begin"/>
            </w:r>
            <w:r w:rsidR="00744A4E">
              <w:rPr>
                <w:webHidden/>
              </w:rPr>
              <w:instrText xml:space="preserve"> PAGEREF _Toc18312837 \h </w:instrText>
            </w:r>
            <w:r w:rsidR="00744A4E">
              <w:rPr>
                <w:webHidden/>
              </w:rPr>
            </w:r>
            <w:r w:rsidR="00744A4E">
              <w:rPr>
                <w:webHidden/>
              </w:rPr>
              <w:fldChar w:fldCharType="separate"/>
            </w:r>
            <w:r w:rsidR="00744A4E">
              <w:rPr>
                <w:webHidden/>
              </w:rPr>
              <w:t>12</w:t>
            </w:r>
            <w:r w:rsidR="00744A4E">
              <w:rPr>
                <w:webHidden/>
              </w:rPr>
              <w:fldChar w:fldCharType="end"/>
            </w:r>
          </w:hyperlink>
        </w:p>
        <w:p w:rsidR="00744A4E" w:rsidRDefault="001D3AF9">
          <w:pPr>
            <w:pStyle w:val="TOC2"/>
            <w:rPr>
              <w:rFonts w:asciiTheme="minorHAnsi" w:hAnsiTheme="minorHAnsi" w:cstheme="minorBidi"/>
            </w:rPr>
          </w:pPr>
          <w:hyperlink w:anchor="_Toc18312838" w:history="1">
            <w:r w:rsidR="00744A4E" w:rsidRPr="00DD31FF">
              <w:rPr>
                <w:rStyle w:val="Hyperlink"/>
              </w:rPr>
              <w:t>Strategic Priority 4: Healthy and Sustainable Places</w:t>
            </w:r>
            <w:r w:rsidR="00744A4E">
              <w:rPr>
                <w:webHidden/>
              </w:rPr>
              <w:tab/>
            </w:r>
            <w:r w:rsidR="00744A4E">
              <w:rPr>
                <w:webHidden/>
              </w:rPr>
              <w:fldChar w:fldCharType="begin"/>
            </w:r>
            <w:r w:rsidR="00744A4E">
              <w:rPr>
                <w:webHidden/>
              </w:rPr>
              <w:instrText xml:space="preserve"> PAGEREF _Toc18312838 \h </w:instrText>
            </w:r>
            <w:r w:rsidR="00744A4E">
              <w:rPr>
                <w:webHidden/>
              </w:rPr>
            </w:r>
            <w:r w:rsidR="00744A4E">
              <w:rPr>
                <w:webHidden/>
              </w:rPr>
              <w:fldChar w:fldCharType="separate"/>
            </w:r>
            <w:r w:rsidR="00744A4E">
              <w:rPr>
                <w:webHidden/>
              </w:rPr>
              <w:t>15</w:t>
            </w:r>
            <w:r w:rsidR="00744A4E">
              <w:rPr>
                <w:webHidden/>
              </w:rPr>
              <w:fldChar w:fldCharType="end"/>
            </w:r>
          </w:hyperlink>
        </w:p>
        <w:p w:rsidR="00744A4E" w:rsidRDefault="001D3AF9">
          <w:pPr>
            <w:pStyle w:val="TOC2"/>
            <w:rPr>
              <w:rFonts w:asciiTheme="minorHAnsi" w:hAnsiTheme="minorHAnsi" w:cstheme="minorBidi"/>
            </w:rPr>
          </w:pPr>
          <w:hyperlink w:anchor="_Toc18312839" w:history="1">
            <w:r w:rsidR="00744A4E" w:rsidRPr="00DD31FF">
              <w:rPr>
                <w:rStyle w:val="Hyperlink"/>
              </w:rPr>
              <w:t>Strategic Priority 5: Transforming Public Services</w:t>
            </w:r>
            <w:r w:rsidR="00744A4E">
              <w:rPr>
                <w:webHidden/>
              </w:rPr>
              <w:tab/>
            </w:r>
            <w:r w:rsidR="00744A4E">
              <w:rPr>
                <w:webHidden/>
              </w:rPr>
              <w:fldChar w:fldCharType="begin"/>
            </w:r>
            <w:r w:rsidR="00744A4E">
              <w:rPr>
                <w:webHidden/>
              </w:rPr>
              <w:instrText xml:space="preserve"> PAGEREF _Toc18312839 \h </w:instrText>
            </w:r>
            <w:r w:rsidR="00744A4E">
              <w:rPr>
                <w:webHidden/>
              </w:rPr>
            </w:r>
            <w:r w:rsidR="00744A4E">
              <w:rPr>
                <w:webHidden/>
              </w:rPr>
              <w:fldChar w:fldCharType="separate"/>
            </w:r>
            <w:r w:rsidR="00744A4E">
              <w:rPr>
                <w:webHidden/>
              </w:rPr>
              <w:t>19</w:t>
            </w:r>
            <w:r w:rsidR="00744A4E">
              <w:rPr>
                <w:webHidden/>
              </w:rPr>
              <w:fldChar w:fldCharType="end"/>
            </w:r>
          </w:hyperlink>
        </w:p>
        <w:p w:rsidR="00744A4E" w:rsidRDefault="001D3AF9">
          <w:pPr>
            <w:pStyle w:val="TOC2"/>
            <w:rPr>
              <w:rFonts w:asciiTheme="minorHAnsi" w:hAnsiTheme="minorHAnsi" w:cstheme="minorBidi"/>
            </w:rPr>
          </w:pPr>
          <w:hyperlink w:anchor="_Toc18312840" w:history="1">
            <w:r w:rsidR="00744A4E" w:rsidRPr="00DD31FF">
              <w:rPr>
                <w:rStyle w:val="Hyperlink"/>
              </w:rPr>
              <w:t>Strategic Change Priority: Making a Successful Transition</w:t>
            </w:r>
            <w:r w:rsidR="00744A4E">
              <w:rPr>
                <w:webHidden/>
              </w:rPr>
              <w:tab/>
            </w:r>
            <w:r w:rsidR="00744A4E">
              <w:rPr>
                <w:webHidden/>
              </w:rPr>
              <w:fldChar w:fldCharType="begin"/>
            </w:r>
            <w:r w:rsidR="00744A4E">
              <w:rPr>
                <w:webHidden/>
              </w:rPr>
              <w:instrText xml:space="preserve"> PAGEREF _Toc18312840 \h </w:instrText>
            </w:r>
            <w:r w:rsidR="00744A4E">
              <w:rPr>
                <w:webHidden/>
              </w:rPr>
            </w:r>
            <w:r w:rsidR="00744A4E">
              <w:rPr>
                <w:webHidden/>
              </w:rPr>
              <w:fldChar w:fldCharType="separate"/>
            </w:r>
            <w:r w:rsidR="00744A4E">
              <w:rPr>
                <w:webHidden/>
              </w:rPr>
              <w:t>23</w:t>
            </w:r>
            <w:r w:rsidR="00744A4E">
              <w:rPr>
                <w:webHidden/>
              </w:rPr>
              <w:fldChar w:fldCharType="end"/>
            </w:r>
          </w:hyperlink>
        </w:p>
        <w:p w:rsidR="00744A4E" w:rsidRDefault="001D3AF9">
          <w:pPr>
            <w:pStyle w:val="TOC1"/>
            <w:tabs>
              <w:tab w:val="right" w:leader="dot" w:pos="8296"/>
            </w:tabs>
            <w:rPr>
              <w:rFonts w:asciiTheme="minorHAnsi" w:eastAsiaTheme="minorEastAsia" w:hAnsiTheme="minorHAnsi" w:cstheme="minorBidi"/>
              <w:noProof/>
              <w:sz w:val="22"/>
              <w:szCs w:val="22"/>
            </w:rPr>
          </w:pPr>
          <w:hyperlink w:anchor="_Toc18312841" w:history="1">
            <w:r w:rsidR="00744A4E" w:rsidRPr="00DD31FF">
              <w:rPr>
                <w:rStyle w:val="Hyperlink"/>
              </w:rPr>
              <w:t>Part 3: Core Services Update</w:t>
            </w:r>
            <w:r w:rsidR="00744A4E">
              <w:rPr>
                <w:noProof/>
                <w:webHidden/>
              </w:rPr>
              <w:tab/>
            </w:r>
            <w:r w:rsidR="00744A4E">
              <w:rPr>
                <w:noProof/>
                <w:webHidden/>
              </w:rPr>
              <w:fldChar w:fldCharType="begin"/>
            </w:r>
            <w:r w:rsidR="00744A4E">
              <w:rPr>
                <w:noProof/>
                <w:webHidden/>
              </w:rPr>
              <w:instrText xml:space="preserve"> PAGEREF _Toc18312841 \h </w:instrText>
            </w:r>
            <w:r w:rsidR="00744A4E">
              <w:rPr>
                <w:noProof/>
                <w:webHidden/>
              </w:rPr>
            </w:r>
            <w:r w:rsidR="00744A4E">
              <w:rPr>
                <w:noProof/>
                <w:webHidden/>
              </w:rPr>
              <w:fldChar w:fldCharType="separate"/>
            </w:r>
            <w:r w:rsidR="00744A4E">
              <w:rPr>
                <w:noProof/>
                <w:webHidden/>
              </w:rPr>
              <w:t>26</w:t>
            </w:r>
            <w:r w:rsidR="00744A4E">
              <w:rPr>
                <w:noProof/>
                <w:webHidden/>
              </w:rPr>
              <w:fldChar w:fldCharType="end"/>
            </w:r>
          </w:hyperlink>
        </w:p>
        <w:p w:rsidR="00744A4E" w:rsidRDefault="001D3AF9">
          <w:pPr>
            <w:pStyle w:val="TOC1"/>
            <w:tabs>
              <w:tab w:val="right" w:leader="dot" w:pos="8296"/>
            </w:tabs>
            <w:rPr>
              <w:rFonts w:asciiTheme="minorHAnsi" w:eastAsiaTheme="minorEastAsia" w:hAnsiTheme="minorHAnsi" w:cstheme="minorBidi"/>
              <w:noProof/>
              <w:sz w:val="22"/>
              <w:szCs w:val="22"/>
            </w:rPr>
          </w:pPr>
          <w:hyperlink w:anchor="_Toc18312842" w:history="1">
            <w:r w:rsidR="00744A4E" w:rsidRPr="00DD31FF">
              <w:rPr>
                <w:rStyle w:val="Hyperlink"/>
              </w:rPr>
              <w:t>Part 4: Corporate Risk Register Report</w:t>
            </w:r>
            <w:r w:rsidR="00744A4E">
              <w:rPr>
                <w:noProof/>
                <w:webHidden/>
              </w:rPr>
              <w:tab/>
            </w:r>
            <w:r w:rsidR="00744A4E">
              <w:rPr>
                <w:noProof/>
                <w:webHidden/>
              </w:rPr>
              <w:fldChar w:fldCharType="begin"/>
            </w:r>
            <w:r w:rsidR="00744A4E">
              <w:rPr>
                <w:noProof/>
                <w:webHidden/>
              </w:rPr>
              <w:instrText xml:space="preserve"> PAGEREF _Toc18312842 \h </w:instrText>
            </w:r>
            <w:r w:rsidR="00744A4E">
              <w:rPr>
                <w:noProof/>
                <w:webHidden/>
              </w:rPr>
            </w:r>
            <w:r w:rsidR="00744A4E">
              <w:rPr>
                <w:noProof/>
                <w:webHidden/>
              </w:rPr>
              <w:fldChar w:fldCharType="separate"/>
            </w:r>
            <w:r w:rsidR="00744A4E">
              <w:rPr>
                <w:noProof/>
                <w:webHidden/>
              </w:rPr>
              <w:t>33</w:t>
            </w:r>
            <w:r w:rsidR="00744A4E">
              <w:rPr>
                <w:noProof/>
                <w:webHidden/>
              </w:rPr>
              <w:fldChar w:fldCharType="end"/>
            </w:r>
          </w:hyperlink>
        </w:p>
        <w:p w:rsidR="00744A4E" w:rsidRDefault="001D3AF9">
          <w:pPr>
            <w:pStyle w:val="TOC1"/>
            <w:tabs>
              <w:tab w:val="right" w:leader="dot" w:pos="8296"/>
            </w:tabs>
            <w:rPr>
              <w:rFonts w:asciiTheme="minorHAnsi" w:eastAsiaTheme="minorEastAsia" w:hAnsiTheme="minorHAnsi" w:cstheme="minorBidi"/>
              <w:noProof/>
              <w:sz w:val="22"/>
              <w:szCs w:val="22"/>
            </w:rPr>
          </w:pPr>
          <w:hyperlink w:anchor="_Toc18312843" w:history="1">
            <w:r w:rsidR="00744A4E" w:rsidRPr="00DD31FF">
              <w:rPr>
                <w:rStyle w:val="Hyperlink"/>
              </w:rPr>
              <w:t>Part 5: Workforce Statistics</w:t>
            </w:r>
            <w:r w:rsidR="00744A4E">
              <w:rPr>
                <w:noProof/>
                <w:webHidden/>
              </w:rPr>
              <w:tab/>
            </w:r>
            <w:r w:rsidR="00744A4E">
              <w:rPr>
                <w:noProof/>
                <w:webHidden/>
              </w:rPr>
              <w:fldChar w:fldCharType="begin"/>
            </w:r>
            <w:r w:rsidR="00744A4E">
              <w:rPr>
                <w:noProof/>
                <w:webHidden/>
              </w:rPr>
              <w:instrText xml:space="preserve"> PAGEREF _Toc18312843 \h </w:instrText>
            </w:r>
            <w:r w:rsidR="00744A4E">
              <w:rPr>
                <w:noProof/>
                <w:webHidden/>
              </w:rPr>
            </w:r>
            <w:r w:rsidR="00744A4E">
              <w:rPr>
                <w:noProof/>
                <w:webHidden/>
              </w:rPr>
              <w:fldChar w:fldCharType="separate"/>
            </w:r>
            <w:r w:rsidR="00744A4E">
              <w:rPr>
                <w:noProof/>
                <w:webHidden/>
              </w:rPr>
              <w:t>35</w:t>
            </w:r>
            <w:r w:rsidR="00744A4E">
              <w:rPr>
                <w:noProof/>
                <w:webHidden/>
              </w:rPr>
              <w:fldChar w:fldCharType="end"/>
            </w:r>
          </w:hyperlink>
        </w:p>
        <w:p w:rsidR="00744A4E" w:rsidRDefault="001D3AF9">
          <w:pPr>
            <w:pStyle w:val="TOC1"/>
            <w:tabs>
              <w:tab w:val="right" w:leader="dot" w:pos="8296"/>
            </w:tabs>
            <w:rPr>
              <w:rFonts w:asciiTheme="minorHAnsi" w:eastAsiaTheme="minorEastAsia" w:hAnsiTheme="minorHAnsi" w:cstheme="minorBidi"/>
              <w:noProof/>
              <w:sz w:val="22"/>
              <w:szCs w:val="22"/>
            </w:rPr>
          </w:pPr>
          <w:hyperlink w:anchor="_Toc18312844" w:history="1">
            <w:r w:rsidR="00744A4E" w:rsidRPr="00DD31FF">
              <w:rPr>
                <w:rStyle w:val="Hyperlink"/>
              </w:rPr>
              <w:t>Part 5: Finance Report</w:t>
            </w:r>
            <w:r w:rsidR="00744A4E">
              <w:rPr>
                <w:noProof/>
                <w:webHidden/>
              </w:rPr>
              <w:tab/>
            </w:r>
            <w:r w:rsidR="00744A4E">
              <w:rPr>
                <w:noProof/>
                <w:webHidden/>
              </w:rPr>
              <w:fldChar w:fldCharType="begin"/>
            </w:r>
            <w:r w:rsidR="00744A4E">
              <w:rPr>
                <w:noProof/>
                <w:webHidden/>
              </w:rPr>
              <w:instrText xml:space="preserve"> PAGEREF _Toc18312844 \h </w:instrText>
            </w:r>
            <w:r w:rsidR="00744A4E">
              <w:rPr>
                <w:noProof/>
                <w:webHidden/>
              </w:rPr>
            </w:r>
            <w:r w:rsidR="00744A4E">
              <w:rPr>
                <w:noProof/>
                <w:webHidden/>
              </w:rPr>
              <w:fldChar w:fldCharType="separate"/>
            </w:r>
            <w:r w:rsidR="00744A4E">
              <w:rPr>
                <w:noProof/>
                <w:webHidden/>
              </w:rPr>
              <w:t>37</w:t>
            </w:r>
            <w:r w:rsidR="00744A4E">
              <w:rPr>
                <w:noProof/>
                <w:webHidden/>
              </w:rPr>
              <w:fldChar w:fldCharType="end"/>
            </w:r>
          </w:hyperlink>
        </w:p>
        <w:p w:rsidR="004361F2" w:rsidRDefault="004361F2" w:rsidP="00E04B83">
          <w:pPr>
            <w:spacing w:beforeLines="20" w:before="48" w:after="0" w:line="276" w:lineRule="auto"/>
          </w:pPr>
          <w:r w:rsidRPr="00024220">
            <w:rPr>
              <w:b/>
              <w:bCs/>
              <w:noProof/>
            </w:rPr>
            <w:fldChar w:fldCharType="end"/>
          </w:r>
        </w:p>
      </w:sdtContent>
    </w:sdt>
    <w:p w:rsidR="004361F2" w:rsidRPr="00E205B7" w:rsidRDefault="004361F2" w:rsidP="00E04B83">
      <w:pPr>
        <w:spacing w:beforeLines="20" w:before="48" w:after="0" w:line="276" w:lineRule="auto"/>
      </w:pPr>
    </w:p>
    <w:p w:rsidR="004361F2" w:rsidRDefault="004361F2" w:rsidP="00E04B83">
      <w:pPr>
        <w:pStyle w:val="Bhead"/>
        <w:spacing w:beforeLines="20" w:before="48" w:after="0" w:line="276" w:lineRule="auto"/>
        <w:sectPr w:rsidR="004361F2">
          <w:pgSz w:w="11906" w:h="16838"/>
          <w:pgMar w:top="1440" w:right="1800" w:bottom="1440" w:left="1800" w:header="708" w:footer="708" w:gutter="0"/>
          <w:cols w:space="708"/>
          <w:docGrid w:linePitch="360"/>
        </w:sectPr>
      </w:pPr>
    </w:p>
    <w:p w:rsidR="00744A4E" w:rsidRDefault="00776A5C" w:rsidP="00E04B83">
      <w:pPr>
        <w:pStyle w:val="Ahead"/>
        <w:spacing w:beforeLines="20" w:before="48" w:line="276" w:lineRule="auto"/>
      </w:pPr>
      <w:bookmarkStart w:id="1" w:name="_Toc18312833"/>
      <w:r>
        <w:lastRenderedPageBreak/>
        <w:t xml:space="preserve">Part </w:t>
      </w:r>
      <w:r w:rsidR="00E04B83">
        <w:t>1</w:t>
      </w:r>
      <w:r>
        <w:t xml:space="preserve">: </w:t>
      </w:r>
      <w:r w:rsidR="00744A4E">
        <w:t>Overview of Quarter One</w:t>
      </w:r>
      <w:bookmarkEnd w:id="1"/>
    </w:p>
    <w:p w:rsidR="00744A4E" w:rsidRDefault="00744A4E" w:rsidP="00744A4E">
      <w:pPr>
        <w:spacing w:beforeLines="20" w:before="48" w:after="0" w:line="276" w:lineRule="auto"/>
        <w:ind w:right="-483"/>
        <w:rPr>
          <w:color w:val="000000"/>
        </w:rPr>
      </w:pPr>
    </w:p>
    <w:p w:rsidR="00744A4E" w:rsidRDefault="00744A4E" w:rsidP="00744A4E">
      <w:pPr>
        <w:spacing w:beforeLines="20" w:before="48" w:after="0" w:line="276" w:lineRule="auto"/>
        <w:ind w:right="-483"/>
        <w:rPr>
          <w:color w:val="000000"/>
        </w:rPr>
      </w:pPr>
      <w:r>
        <w:rPr>
          <w:color w:val="000000"/>
        </w:rPr>
        <w:t xml:space="preserve">Our quarter one performance report shows that our final business year has got off to a good start.  We tend to have fewer performance indicators due for completion in the first quarter compared to later quarters and this year is no exception.  Of the 11 performance indicators due for completion this quarter, we achieved seven of them and partially achieved the remaining four, all of which will be fully completed in quarter two. </w:t>
      </w:r>
    </w:p>
    <w:p w:rsidR="00744A4E" w:rsidRDefault="00744A4E" w:rsidP="00744A4E">
      <w:pPr>
        <w:spacing w:beforeLines="20" w:before="48" w:after="0" w:line="276" w:lineRule="auto"/>
        <w:ind w:right="-483"/>
        <w:rPr>
          <w:color w:val="000000"/>
        </w:rPr>
      </w:pPr>
    </w:p>
    <w:p w:rsidR="00744A4E" w:rsidRDefault="00744A4E" w:rsidP="00744A4E">
      <w:pPr>
        <w:spacing w:beforeLines="20" w:before="48" w:after="0" w:line="276" w:lineRule="auto"/>
        <w:ind w:right="-483"/>
        <w:rPr>
          <w:color w:val="000000"/>
        </w:rPr>
      </w:pPr>
      <w:r>
        <w:rPr>
          <w:color w:val="000000"/>
        </w:rPr>
        <w:t xml:space="preserve">A number of important developments took place </w:t>
      </w:r>
      <w:r w:rsidR="00A2653B">
        <w:rPr>
          <w:color w:val="000000"/>
        </w:rPr>
        <w:t xml:space="preserve">in the first quarter around the creation of </w:t>
      </w:r>
      <w:r>
        <w:rPr>
          <w:color w:val="000000"/>
        </w:rPr>
        <w:t xml:space="preserve">Public Health Scotland.  </w:t>
      </w:r>
      <w:r w:rsidR="00A2653B">
        <w:rPr>
          <w:color w:val="000000"/>
        </w:rPr>
        <w:t xml:space="preserve">This includes staff engagement around the TUPE consultation, branding, the change in governance arrangements with the new shadow EMT, and the legislation consultation on the setting up of PHS.  We have received positive feedback from a range of stakeholders on the content of our response.  This includes feedback from third sector stakeholders with whom we shared our response prior to the deadline, feedback from the Registrars Group who were particularly pleased to read what we said about climate change, and feedback from the new Shadow Chair of PHS.  </w:t>
      </w:r>
    </w:p>
    <w:p w:rsidR="00744A4E" w:rsidRDefault="00744A4E" w:rsidP="00744A4E">
      <w:pPr>
        <w:spacing w:beforeLines="20" w:before="48" w:after="0" w:line="276" w:lineRule="auto"/>
        <w:ind w:right="-483"/>
        <w:rPr>
          <w:color w:val="000000"/>
        </w:rPr>
      </w:pPr>
      <w:r>
        <w:rPr>
          <w:color w:val="000000"/>
        </w:rPr>
        <w:t xml:space="preserve"> </w:t>
      </w:r>
    </w:p>
    <w:p w:rsidR="00A2653B" w:rsidRDefault="00A2653B" w:rsidP="00744A4E">
      <w:pPr>
        <w:pStyle w:val="BodyText1"/>
        <w:spacing w:beforeLines="20" w:before="48" w:line="276" w:lineRule="auto"/>
      </w:pPr>
      <w:r>
        <w:t xml:space="preserve">Highlights this quarter include the publication of a number of reports, including a joint report with National Record Scotland on the </w:t>
      </w:r>
      <w:r w:rsidRPr="00A2653B">
        <w:t xml:space="preserve">diseases and conditions leading to the </w:t>
      </w:r>
      <w:r>
        <w:t xml:space="preserve">stall in life expectancy and the most recent report from the </w:t>
      </w:r>
      <w:r w:rsidRPr="00E04B83">
        <w:t>Informing In</w:t>
      </w:r>
      <w:r>
        <w:t xml:space="preserve">terventions </w:t>
      </w:r>
      <w:r w:rsidRPr="00E04B83">
        <w:t>to reduce health inequalities (Triple I)</w:t>
      </w:r>
      <w:r>
        <w:t xml:space="preserve"> study.  The report</w:t>
      </w:r>
      <w:r w:rsidRPr="00A2653B">
        <w:t xml:space="preserve"> update</w:t>
      </w:r>
      <w:r>
        <w:t>s</w:t>
      </w:r>
      <w:r w:rsidRPr="00A2653B">
        <w:t xml:space="preserve"> and expand</w:t>
      </w:r>
      <w:r>
        <w:t>s</w:t>
      </w:r>
      <w:r w:rsidRPr="00A2653B">
        <w:t xml:space="preserve"> on previous work looking at how different income-based policies would affect health and health inequalities in Scotland.</w:t>
      </w:r>
    </w:p>
    <w:p w:rsidR="00A2653B" w:rsidRDefault="00A2653B" w:rsidP="00744A4E">
      <w:pPr>
        <w:pStyle w:val="BodyText1"/>
        <w:spacing w:beforeLines="20" w:before="48" w:line="276" w:lineRule="auto"/>
      </w:pPr>
    </w:p>
    <w:p w:rsidR="00A2653B" w:rsidRDefault="00A2653B" w:rsidP="00A2653B">
      <w:pPr>
        <w:spacing w:beforeLines="20" w:before="48" w:after="0" w:line="276" w:lineRule="auto"/>
        <w:ind w:right="-483"/>
        <w:rPr>
          <w:iCs/>
        </w:rPr>
      </w:pPr>
      <w:r>
        <w:rPr>
          <w:color w:val="000000"/>
        </w:rPr>
        <w:t xml:space="preserve">We also ran a number of events, including the </w:t>
      </w:r>
      <w:r w:rsidRPr="00A2653B">
        <w:rPr>
          <w:color w:val="000000"/>
        </w:rPr>
        <w:t>International Place Making Conference</w:t>
      </w:r>
      <w:r>
        <w:rPr>
          <w:color w:val="000000"/>
        </w:rPr>
        <w:t xml:space="preserve"> in </w:t>
      </w:r>
      <w:r w:rsidRPr="00E04B83">
        <w:rPr>
          <w:iCs/>
        </w:rPr>
        <w:t>partnersh</w:t>
      </w:r>
      <w:r>
        <w:rPr>
          <w:iCs/>
        </w:rPr>
        <w:t xml:space="preserve">ip with the World Health Organization (WHO), which </w:t>
      </w:r>
      <w:r w:rsidRPr="00E04B83">
        <w:rPr>
          <w:iCs/>
        </w:rPr>
        <w:t>included a range of key note presentations from a variety of high-profile international speakers as well as workshops and site visits</w:t>
      </w:r>
      <w:r>
        <w:rPr>
          <w:iCs/>
        </w:rPr>
        <w:t xml:space="preserve">.  We also had exhibitions and engaged with stakeholders at the </w:t>
      </w:r>
      <w:r w:rsidRPr="00A2653B">
        <w:rPr>
          <w:iCs/>
        </w:rPr>
        <w:t>Scotland's Welfare Rights Conference 2019</w:t>
      </w:r>
      <w:r>
        <w:rPr>
          <w:iCs/>
        </w:rPr>
        <w:t xml:space="preserve"> and at the </w:t>
      </w:r>
      <w:r w:rsidRPr="00A2653B">
        <w:rPr>
          <w:iCs/>
        </w:rPr>
        <w:t>Mental Health Foundation</w:t>
      </w:r>
      <w:r>
        <w:rPr>
          <w:iCs/>
        </w:rPr>
        <w:t>’</w:t>
      </w:r>
      <w:r w:rsidRPr="00A2653B">
        <w:rPr>
          <w:iCs/>
        </w:rPr>
        <w:t>s Parliamentary Reception</w:t>
      </w:r>
      <w:r>
        <w:rPr>
          <w:iCs/>
        </w:rPr>
        <w:t>, where our exhibition was joint with Barnardos.</w:t>
      </w:r>
    </w:p>
    <w:p w:rsidR="00A2653B" w:rsidRDefault="00A2653B" w:rsidP="00A2653B">
      <w:pPr>
        <w:spacing w:beforeLines="20" w:before="48" w:after="0" w:line="276" w:lineRule="auto"/>
        <w:ind w:right="-483"/>
        <w:rPr>
          <w:iCs/>
        </w:rPr>
      </w:pPr>
    </w:p>
    <w:p w:rsidR="00744A4E" w:rsidRDefault="00A2653B" w:rsidP="00744A4E">
      <w:pPr>
        <w:spacing w:beforeLines="20" w:before="48" w:after="0" w:line="276" w:lineRule="auto"/>
        <w:ind w:right="-483"/>
        <w:rPr>
          <w:color w:val="000000"/>
        </w:rPr>
      </w:pPr>
      <w:r>
        <w:rPr>
          <w:iCs/>
        </w:rPr>
        <w:t xml:space="preserve">Our joint work with PHI continues to strengthen and increase.  One example is with policy consultations and calls for evidence from parliament.  We submitted a joint response </w:t>
      </w:r>
      <w:r w:rsidR="00744A4E">
        <w:rPr>
          <w:color w:val="000000"/>
        </w:rPr>
        <w:t>the Westminster Scottish Affairs C</w:t>
      </w:r>
      <w:r w:rsidR="00744A4E" w:rsidRPr="00270057">
        <w:rPr>
          <w:color w:val="000000"/>
        </w:rPr>
        <w:t xml:space="preserve">ommittee </w:t>
      </w:r>
      <w:r w:rsidR="00744A4E">
        <w:t>inquiry into p</w:t>
      </w:r>
      <w:r w:rsidR="00744A4E" w:rsidRPr="00270057">
        <w:t xml:space="preserve">roblem </w:t>
      </w:r>
      <w:r w:rsidR="00744A4E">
        <w:t>d</w:t>
      </w:r>
      <w:r w:rsidR="00744A4E" w:rsidRPr="00270057">
        <w:t xml:space="preserve">rug </w:t>
      </w:r>
      <w:r w:rsidR="00744A4E">
        <w:t>u</w:t>
      </w:r>
      <w:r w:rsidR="00744A4E" w:rsidRPr="00270057">
        <w:t>se in Scotland</w:t>
      </w:r>
      <w:r w:rsidR="00744A4E">
        <w:t xml:space="preserve">, which </w:t>
      </w:r>
      <w:r w:rsidR="00744A4E" w:rsidRPr="00270057">
        <w:rPr>
          <w:color w:val="000000"/>
        </w:rPr>
        <w:t xml:space="preserve">led to </w:t>
      </w:r>
      <w:r w:rsidR="00744A4E">
        <w:rPr>
          <w:color w:val="000000"/>
        </w:rPr>
        <w:t>an invitation to give</w:t>
      </w:r>
      <w:r w:rsidR="00744A4E" w:rsidRPr="00270057">
        <w:rPr>
          <w:color w:val="000000"/>
        </w:rPr>
        <w:t xml:space="preserve"> oral evidence to the committee in Westminster.  </w:t>
      </w:r>
      <w:r w:rsidR="00744A4E">
        <w:rPr>
          <w:color w:val="000000"/>
        </w:rPr>
        <w:t xml:space="preserve">We plan to repeat the successful approach to joint-working with other consultations and calls for evidence in the coming months.  </w:t>
      </w:r>
    </w:p>
    <w:p w:rsidR="00744A4E" w:rsidRPr="00270057" w:rsidRDefault="00744A4E" w:rsidP="00744A4E">
      <w:pPr>
        <w:spacing w:beforeLines="20" w:before="48" w:after="0" w:line="276" w:lineRule="auto"/>
        <w:ind w:right="-483"/>
        <w:rPr>
          <w:color w:val="000000"/>
        </w:rPr>
      </w:pPr>
    </w:p>
    <w:p w:rsidR="00776A5C" w:rsidRDefault="00744A4E" w:rsidP="00E04B83">
      <w:pPr>
        <w:pStyle w:val="Ahead"/>
        <w:spacing w:beforeLines="20" w:before="48" w:line="276" w:lineRule="auto"/>
      </w:pPr>
      <w:bookmarkStart w:id="2" w:name="_Toc18312834"/>
      <w:r>
        <w:lastRenderedPageBreak/>
        <w:t xml:space="preserve">Part 2: </w:t>
      </w:r>
      <w:r w:rsidR="00776A5C">
        <w:t>Strategic Priority Update</w:t>
      </w:r>
      <w:bookmarkEnd w:id="2"/>
    </w:p>
    <w:p w:rsidR="002B33E3" w:rsidRDefault="004361F2" w:rsidP="00E04B83">
      <w:pPr>
        <w:pStyle w:val="Bhead"/>
        <w:spacing w:beforeLines="20" w:before="48" w:after="0" w:line="276" w:lineRule="auto"/>
        <w:ind w:right="-766"/>
      </w:pPr>
      <w:bookmarkStart w:id="3" w:name="_Toc18312835"/>
      <w:r>
        <w:t>Strategic Priority 1: Fairer and Healthier Policy</w:t>
      </w:r>
      <w:bookmarkEnd w:id="3"/>
    </w:p>
    <w:p w:rsidR="002B33E3" w:rsidRDefault="002B33E3" w:rsidP="00E04B83">
      <w:pPr>
        <w:pStyle w:val="Bhead"/>
        <w:spacing w:beforeLines="20" w:before="48" w:after="0" w:line="276" w:lineRule="auto"/>
        <w:ind w:right="-766"/>
        <w:rPr>
          <w:sz w:val="24"/>
        </w:rPr>
      </w:pPr>
    </w:p>
    <w:p w:rsidR="00121207" w:rsidRPr="00121207" w:rsidRDefault="00E04B83" w:rsidP="00121207">
      <w:pPr>
        <w:pStyle w:val="Chead"/>
        <w:spacing w:beforeLines="20" w:before="48" w:after="0" w:line="276" w:lineRule="auto"/>
        <w:rPr>
          <w:sz w:val="24"/>
        </w:rPr>
      </w:pPr>
      <w:r w:rsidRPr="002B33E3">
        <w:rPr>
          <w:sz w:val="24"/>
        </w:rPr>
        <w:t xml:space="preserve">Highlights </w:t>
      </w:r>
      <w:r w:rsidR="00121207" w:rsidRPr="00121207">
        <w:rPr>
          <w:sz w:val="24"/>
        </w:rPr>
        <w:t>from Quarter 1</w:t>
      </w:r>
    </w:p>
    <w:p w:rsidR="00C735DC" w:rsidRPr="00270057" w:rsidRDefault="00C735DC" w:rsidP="00E04B83">
      <w:pPr>
        <w:spacing w:beforeLines="20" w:before="48" w:after="0" w:line="276" w:lineRule="auto"/>
      </w:pPr>
      <w:r>
        <w:t>S</w:t>
      </w:r>
      <w:r w:rsidRPr="00270057">
        <w:t>talled mortality</w:t>
      </w:r>
      <w:r>
        <w:t xml:space="preserve"> continues to be a key area for SP1</w:t>
      </w:r>
      <w:r w:rsidR="00E04B83">
        <w:t xml:space="preserve">.  We are working with </w:t>
      </w:r>
      <w:r w:rsidR="00E04B83" w:rsidRPr="00E04B83">
        <w:t xml:space="preserve">the National Records of Scotland (NRS) and </w:t>
      </w:r>
      <w:r w:rsidR="00E04B83">
        <w:t>other</w:t>
      </w:r>
      <w:r w:rsidR="00E04B83" w:rsidRPr="00E04B83">
        <w:t xml:space="preserve"> UK bodies to investigate recent patterns in life expectancy trends so as to better understand the degree and determinants of </w:t>
      </w:r>
      <w:r w:rsidR="00E04B83">
        <w:t>the</w:t>
      </w:r>
      <w:r w:rsidR="00E04B83" w:rsidRPr="00E04B83">
        <w:t xml:space="preserve"> patterns, and make appropriate recommendations for action.</w:t>
      </w:r>
      <w:r w:rsidR="00E04B83">
        <w:t xml:space="preserve">  I</w:t>
      </w:r>
      <w:r w:rsidRPr="00270057">
        <w:t xml:space="preserve">n quarter 1 we made progress on agreeing key messaging </w:t>
      </w:r>
      <w:r w:rsidR="00E04B83">
        <w:t xml:space="preserve">and joint working approaches.  We also </w:t>
      </w:r>
      <w:hyperlink r:id="rId14" w:history="1">
        <w:r w:rsidRPr="00A832F0">
          <w:rPr>
            <w:rStyle w:val="Hyperlink"/>
          </w:rPr>
          <w:t>published</w:t>
        </w:r>
      </w:hyperlink>
      <w:r w:rsidRPr="00270057">
        <w:t xml:space="preserve"> (with </w:t>
      </w:r>
      <w:r w:rsidR="00E04B83">
        <w:t>NRS</w:t>
      </w:r>
      <w:r w:rsidRPr="00270057">
        <w:t xml:space="preserve">) information on the diseases and </w:t>
      </w:r>
      <w:r>
        <w:t xml:space="preserve">conditions leading </w:t>
      </w:r>
      <w:r w:rsidR="00E04B83">
        <w:t xml:space="preserve">to </w:t>
      </w:r>
      <w:r>
        <w:t xml:space="preserve">the slowdown.  The work is gaining traction in the media and with public health colleagues, and we have been asked to take part in a number of </w:t>
      </w:r>
      <w:r w:rsidR="00E04B83">
        <w:t>significant</w:t>
      </w:r>
      <w:r>
        <w:t xml:space="preserve"> </w:t>
      </w:r>
      <w:r w:rsidR="00E04B83">
        <w:t xml:space="preserve">media </w:t>
      </w:r>
      <w:r>
        <w:t>interviews.</w:t>
      </w:r>
    </w:p>
    <w:p w:rsidR="00E04B83" w:rsidRDefault="00E04B83" w:rsidP="00E04B83">
      <w:pPr>
        <w:spacing w:beforeLines="20" w:before="48" w:after="0" w:line="276" w:lineRule="auto"/>
        <w:rPr>
          <w:color w:val="000000"/>
        </w:rPr>
      </w:pPr>
    </w:p>
    <w:p w:rsidR="00C735DC" w:rsidRPr="00270057" w:rsidRDefault="00C735DC" w:rsidP="00E04B83">
      <w:pPr>
        <w:spacing w:beforeLines="20" w:before="48" w:after="0" w:line="276" w:lineRule="auto"/>
        <w:ind w:right="-483"/>
        <w:rPr>
          <w:color w:val="000000"/>
        </w:rPr>
      </w:pPr>
      <w:r w:rsidRPr="00270057">
        <w:rPr>
          <w:color w:val="000000"/>
        </w:rPr>
        <w:t>We led on the</w:t>
      </w:r>
      <w:r w:rsidR="00E04B83">
        <w:rPr>
          <w:color w:val="000000"/>
        </w:rPr>
        <w:t xml:space="preserve"> development of the first joint evidence submission together with </w:t>
      </w:r>
      <w:r w:rsidRPr="00270057">
        <w:rPr>
          <w:color w:val="000000"/>
        </w:rPr>
        <w:t xml:space="preserve">Health Protection </w:t>
      </w:r>
      <w:r w:rsidR="00E04B83">
        <w:rPr>
          <w:color w:val="000000"/>
        </w:rPr>
        <w:t>Scotland and ISD “in the spirit of Public Health Scotland”.  It was a response to the Westminster Scottish Affairs C</w:t>
      </w:r>
      <w:r w:rsidRPr="00270057">
        <w:rPr>
          <w:color w:val="000000"/>
        </w:rPr>
        <w:t xml:space="preserve">ommittee </w:t>
      </w:r>
      <w:r w:rsidR="00E04B83">
        <w:t>inquiry into p</w:t>
      </w:r>
      <w:r w:rsidRPr="00270057">
        <w:t xml:space="preserve">roblem </w:t>
      </w:r>
      <w:r w:rsidR="00E04B83">
        <w:t>d</w:t>
      </w:r>
      <w:r w:rsidRPr="00270057">
        <w:t xml:space="preserve">rug </w:t>
      </w:r>
      <w:r w:rsidR="00E04B83">
        <w:t>u</w:t>
      </w:r>
      <w:r w:rsidRPr="00270057">
        <w:t>se in Scotland</w:t>
      </w:r>
      <w:r w:rsidR="00E04B83">
        <w:t xml:space="preserve">, which </w:t>
      </w:r>
      <w:r w:rsidRPr="00270057">
        <w:rPr>
          <w:color w:val="000000"/>
        </w:rPr>
        <w:t xml:space="preserve">led to </w:t>
      </w:r>
      <w:r w:rsidR="00E04B83">
        <w:rPr>
          <w:color w:val="000000"/>
        </w:rPr>
        <w:t>an invitation</w:t>
      </w:r>
      <w:r>
        <w:rPr>
          <w:color w:val="000000"/>
        </w:rPr>
        <w:t xml:space="preserve"> to give</w:t>
      </w:r>
      <w:r w:rsidRPr="00270057">
        <w:rPr>
          <w:color w:val="000000"/>
        </w:rPr>
        <w:t xml:space="preserve"> oral evidence to the committee in Westminster.  </w:t>
      </w:r>
      <w:r w:rsidR="00E04B83">
        <w:rPr>
          <w:color w:val="000000"/>
        </w:rPr>
        <w:t xml:space="preserve">We plan to repeat the successful approach to joint-working with other consultations and calls for evidence in the coming months.  </w:t>
      </w:r>
    </w:p>
    <w:p w:rsidR="00C735DC" w:rsidRPr="00270057" w:rsidRDefault="00C735DC" w:rsidP="00E04B83">
      <w:pPr>
        <w:spacing w:beforeLines="20" w:before="48" w:after="0" w:line="276" w:lineRule="auto"/>
      </w:pPr>
    </w:p>
    <w:p w:rsidR="00C735DC" w:rsidRDefault="00C735DC" w:rsidP="00E04B83">
      <w:pPr>
        <w:spacing w:beforeLines="20" w:before="48" w:after="0" w:line="276" w:lineRule="auto"/>
      </w:pPr>
      <w:r w:rsidRPr="00270057">
        <w:t xml:space="preserve">We published a rapid systematic literature review </w:t>
      </w:r>
      <w:r w:rsidR="00E04B83">
        <w:t xml:space="preserve">on food marketing.  The review, </w:t>
      </w:r>
      <w:hyperlink r:id="rId15" w:history="1">
        <w:r w:rsidRPr="00E04B83">
          <w:rPr>
            <w:rStyle w:val="Hyperlink"/>
            <w:noProof w:val="0"/>
          </w:rPr>
          <w:t>Impact of in-premise marketing on consumer purchasing and consumption</w:t>
        </w:r>
      </w:hyperlink>
      <w:r w:rsidR="00E04B83">
        <w:t xml:space="preserve">, </w:t>
      </w:r>
      <w:r w:rsidRPr="00270057">
        <w:t>provided an initial review of evidence, both in the retail and the out of home food sectors.  The review has informed Scottish Government proposals to restrict the in-premise ma</w:t>
      </w:r>
      <w:r w:rsidR="00E04B83">
        <w:t>rketing of ‘discretionary’ foods</w:t>
      </w:r>
      <w:r w:rsidRPr="00270057">
        <w:t>.</w:t>
      </w:r>
    </w:p>
    <w:p w:rsidR="00E04B83" w:rsidRPr="00270057" w:rsidRDefault="00E04B83" w:rsidP="00E04B83">
      <w:pPr>
        <w:spacing w:beforeLines="20" w:before="48" w:after="0" w:line="276" w:lineRule="auto"/>
      </w:pPr>
    </w:p>
    <w:p w:rsidR="00C735DC" w:rsidRPr="00270057" w:rsidRDefault="00E04B83" w:rsidP="00E04B83">
      <w:pPr>
        <w:spacing w:beforeLines="20" w:before="48" w:after="0" w:line="276" w:lineRule="auto"/>
        <w:rPr>
          <w:color w:val="000000"/>
          <w:lang w:val="en-US"/>
        </w:rPr>
      </w:pPr>
      <w:r>
        <w:t xml:space="preserve">We published a new </w:t>
      </w:r>
      <w:r w:rsidRPr="00E04B83">
        <w:t xml:space="preserve">Informing </w:t>
      </w:r>
      <w:r w:rsidR="00A2653B" w:rsidRPr="00E04B83">
        <w:t>In</w:t>
      </w:r>
      <w:r w:rsidR="00A2653B">
        <w:t xml:space="preserve">terventions </w:t>
      </w:r>
      <w:r w:rsidRPr="00E04B83">
        <w:t xml:space="preserve">to reduce health inequalities (Triple I) </w:t>
      </w:r>
      <w:hyperlink r:id="rId16" w:history="1">
        <w:r w:rsidRPr="00E04B83">
          <w:rPr>
            <w:rStyle w:val="Hyperlink"/>
            <w:noProof w:val="0"/>
          </w:rPr>
          <w:t>report</w:t>
        </w:r>
      </w:hyperlink>
      <w:r>
        <w:t xml:space="preserve"> </w:t>
      </w:r>
      <w:r w:rsidR="00C735DC" w:rsidRPr="00270057">
        <w:rPr>
          <w:color w:val="000000"/>
          <w:lang w:val="en-US"/>
        </w:rPr>
        <w:t>and interactive tools</w:t>
      </w:r>
      <w:r>
        <w:rPr>
          <w:color w:val="000000"/>
          <w:lang w:val="en-US"/>
        </w:rPr>
        <w:t xml:space="preserve">, which </w:t>
      </w:r>
      <w:r w:rsidR="00C735DC" w:rsidRPr="00270057">
        <w:rPr>
          <w:color w:val="000000"/>
          <w:lang w:val="en-US"/>
        </w:rPr>
        <w:t xml:space="preserve">show the effects of a range of interventions on health and health inequalities. </w:t>
      </w:r>
      <w:r w:rsidR="00C735DC">
        <w:rPr>
          <w:color w:val="000000"/>
          <w:lang w:val="en-US"/>
        </w:rPr>
        <w:t>T</w:t>
      </w:r>
      <w:r w:rsidR="00C735DC" w:rsidRPr="00270057">
        <w:rPr>
          <w:color w:val="000000"/>
          <w:lang w:val="en-US"/>
        </w:rPr>
        <w:t xml:space="preserve">he findings </w:t>
      </w:r>
      <w:r w:rsidR="00C735DC">
        <w:rPr>
          <w:color w:val="000000"/>
          <w:lang w:val="en-US"/>
        </w:rPr>
        <w:t xml:space="preserve">were discussed </w:t>
      </w:r>
      <w:r w:rsidR="00C735DC" w:rsidRPr="00270057">
        <w:rPr>
          <w:color w:val="000000"/>
          <w:lang w:val="en-US"/>
        </w:rPr>
        <w:t>during a live interview on BBC Radio Scotland</w:t>
      </w:r>
      <w:r w:rsidR="00C735DC">
        <w:rPr>
          <w:color w:val="000000"/>
          <w:lang w:val="en-US"/>
        </w:rPr>
        <w:t xml:space="preserve"> and at </w:t>
      </w:r>
      <w:r w:rsidR="00C735DC" w:rsidRPr="00270057">
        <w:rPr>
          <w:color w:val="000000"/>
          <w:lang w:val="en-US"/>
        </w:rPr>
        <w:t xml:space="preserve">the Cross Party Group on Health Inequalities. There has been extensive </w:t>
      </w:r>
      <w:r>
        <w:rPr>
          <w:color w:val="000000"/>
          <w:lang w:val="en-US"/>
        </w:rPr>
        <w:t>stakeholder engagement on</w:t>
      </w:r>
      <w:r w:rsidR="00C735DC" w:rsidRPr="00270057">
        <w:rPr>
          <w:color w:val="000000"/>
          <w:lang w:val="en-US"/>
        </w:rPr>
        <w:t xml:space="preserve"> the latest outputs</w:t>
      </w:r>
      <w:r>
        <w:rPr>
          <w:color w:val="000000"/>
          <w:lang w:val="en-US"/>
        </w:rPr>
        <w:t>, including with the</w:t>
      </w:r>
      <w:r w:rsidR="00C735DC" w:rsidRPr="00270057">
        <w:rPr>
          <w:color w:val="000000"/>
          <w:lang w:val="en-US"/>
        </w:rPr>
        <w:t xml:space="preserve"> Canadian Public Health Agency</w:t>
      </w:r>
      <w:r>
        <w:rPr>
          <w:color w:val="000000"/>
          <w:lang w:val="en-US"/>
        </w:rPr>
        <w:t xml:space="preserve">, </w:t>
      </w:r>
      <w:r w:rsidR="00C735DC" w:rsidRPr="00270057">
        <w:rPr>
          <w:color w:val="000000"/>
          <w:lang w:val="en-US"/>
        </w:rPr>
        <w:t>Community Justice Scotland</w:t>
      </w:r>
      <w:r>
        <w:rPr>
          <w:color w:val="000000"/>
          <w:lang w:val="en-US"/>
        </w:rPr>
        <w:t xml:space="preserve">, </w:t>
      </w:r>
      <w:r w:rsidR="00C735DC" w:rsidRPr="00270057">
        <w:rPr>
          <w:color w:val="000000"/>
          <w:lang w:val="en-US"/>
        </w:rPr>
        <w:t>Glasgow City Health and Social Care Partnerships’ Senior Managers</w:t>
      </w:r>
      <w:r>
        <w:rPr>
          <w:color w:val="000000"/>
          <w:lang w:val="en-US"/>
        </w:rPr>
        <w:t xml:space="preserve">, and </w:t>
      </w:r>
      <w:r w:rsidR="00C735DC" w:rsidRPr="00270057">
        <w:rPr>
          <w:color w:val="000000"/>
          <w:lang w:val="en-US"/>
        </w:rPr>
        <w:t xml:space="preserve">City Region Deal Project Managers. </w:t>
      </w:r>
    </w:p>
    <w:p w:rsidR="00C735DC" w:rsidRDefault="00C735DC" w:rsidP="00E04B83">
      <w:pPr>
        <w:spacing w:beforeLines="20" w:before="48" w:after="0" w:line="276" w:lineRule="auto"/>
      </w:pPr>
    </w:p>
    <w:p w:rsidR="00476583" w:rsidRDefault="00C735DC" w:rsidP="00E04B83">
      <w:pPr>
        <w:spacing w:beforeLines="20" w:before="48" w:after="0" w:line="276" w:lineRule="auto"/>
        <w:rPr>
          <w:color w:val="000000"/>
        </w:rPr>
      </w:pPr>
      <w:r>
        <w:rPr>
          <w:color w:val="000000"/>
        </w:rPr>
        <w:t xml:space="preserve">We </w:t>
      </w:r>
      <w:r w:rsidR="00E04B83">
        <w:rPr>
          <w:color w:val="000000"/>
        </w:rPr>
        <w:t xml:space="preserve">worked with </w:t>
      </w:r>
      <w:r>
        <w:rPr>
          <w:color w:val="000000"/>
        </w:rPr>
        <w:t xml:space="preserve">NHS Education </w:t>
      </w:r>
      <w:r w:rsidR="00E04B83">
        <w:rPr>
          <w:color w:val="000000"/>
        </w:rPr>
        <w:t xml:space="preserve">for </w:t>
      </w:r>
      <w:r>
        <w:rPr>
          <w:color w:val="000000"/>
        </w:rPr>
        <w:t>Scotland</w:t>
      </w:r>
      <w:r w:rsidR="00E04B83">
        <w:rPr>
          <w:color w:val="000000"/>
        </w:rPr>
        <w:t xml:space="preserve"> to produce </w:t>
      </w:r>
      <w:hyperlink r:id="rId17" w:history="1">
        <w:r w:rsidRPr="00E04B83">
          <w:rPr>
            <w:rStyle w:val="Hyperlink"/>
            <w:noProof w:val="0"/>
          </w:rPr>
          <w:t>three online awareness animations</w:t>
        </w:r>
      </w:hyperlink>
      <w:r>
        <w:rPr>
          <w:color w:val="000000"/>
        </w:rPr>
        <w:t xml:space="preserve"> around mental health and suicide prevention, a Knowledge and Skills Framework and a Workforce Development Plan for Mental Health Improvement and Suicide Prevention</w:t>
      </w:r>
      <w:r w:rsidR="002B33E3">
        <w:rPr>
          <w:color w:val="000000"/>
        </w:rPr>
        <w:t>.</w:t>
      </w:r>
      <w:r>
        <w:rPr>
          <w:color w:val="000000"/>
        </w:rPr>
        <w:t xml:space="preserve">  This received a lot of attention in the media, </w:t>
      </w:r>
      <w:r w:rsidR="00E04B83">
        <w:rPr>
          <w:color w:val="000000"/>
        </w:rPr>
        <w:t>including an</w:t>
      </w:r>
      <w:r>
        <w:rPr>
          <w:color w:val="000000"/>
        </w:rPr>
        <w:t xml:space="preserve"> interview on Reporting Scotland.</w:t>
      </w:r>
    </w:p>
    <w:p w:rsidR="00DA333C" w:rsidRDefault="00DA333C" w:rsidP="00E04B83">
      <w:pPr>
        <w:pStyle w:val="Chead"/>
        <w:spacing w:beforeLines="20" w:before="48" w:after="0" w:line="276" w:lineRule="auto"/>
        <w:sectPr w:rsidR="00DA333C" w:rsidSect="00E04B83">
          <w:pgSz w:w="11906" w:h="16838"/>
          <w:pgMar w:top="1134" w:right="1800" w:bottom="1440" w:left="1800" w:header="708" w:footer="708" w:gutter="0"/>
          <w:cols w:space="708"/>
          <w:docGrid w:linePitch="360"/>
        </w:sectPr>
      </w:pPr>
    </w:p>
    <w:p w:rsidR="004361F2" w:rsidRPr="00121207" w:rsidRDefault="004361F2" w:rsidP="00E04B83">
      <w:pPr>
        <w:pStyle w:val="Chead"/>
        <w:spacing w:beforeLines="20" w:before="48" w:after="0" w:line="276" w:lineRule="auto"/>
        <w:rPr>
          <w:sz w:val="24"/>
        </w:rPr>
      </w:pPr>
      <w:r w:rsidRPr="00121207">
        <w:rPr>
          <w:sz w:val="24"/>
        </w:rPr>
        <w:lastRenderedPageBreak/>
        <w:t>Performance Information</w:t>
      </w:r>
    </w:p>
    <w:p w:rsidR="00306306" w:rsidRDefault="00306306" w:rsidP="00E04B83">
      <w:pPr>
        <w:spacing w:beforeLines="20" w:before="48" w:after="0" w:line="276" w:lineRule="auto"/>
      </w:pPr>
      <w:r>
        <w:t xml:space="preserve">The following table details the Performance Indicators that were due for completion this quarter and provides a narrative for each. </w:t>
      </w:r>
    </w:p>
    <w:p w:rsidR="00306306" w:rsidRDefault="00306306" w:rsidP="00E04B83">
      <w:pPr>
        <w:spacing w:beforeLines="20" w:before="48" w:after="0" w:line="276" w:lineRule="auto"/>
      </w:pPr>
    </w:p>
    <w:tbl>
      <w:tblPr>
        <w:tblStyle w:val="TableGrid"/>
        <w:tblW w:w="14170" w:type="dxa"/>
        <w:tblLayout w:type="fixed"/>
        <w:tblLook w:val="04A0" w:firstRow="1" w:lastRow="0" w:firstColumn="1" w:lastColumn="0" w:noHBand="0" w:noVBand="1"/>
      </w:tblPr>
      <w:tblGrid>
        <w:gridCol w:w="5240"/>
        <w:gridCol w:w="3686"/>
        <w:gridCol w:w="992"/>
        <w:gridCol w:w="4252"/>
      </w:tblGrid>
      <w:tr w:rsidR="004E4D1B" w:rsidRPr="004E4D1B" w:rsidTr="00E04B83">
        <w:tc>
          <w:tcPr>
            <w:tcW w:w="5240" w:type="dxa"/>
          </w:tcPr>
          <w:p w:rsidR="004E4D1B" w:rsidRPr="004E4D1B" w:rsidRDefault="004E4D1B" w:rsidP="00E04B83">
            <w:pPr>
              <w:spacing w:beforeLines="20" w:before="48" w:after="0" w:line="276" w:lineRule="auto"/>
              <w:rPr>
                <w:b/>
                <w:color w:val="000000"/>
              </w:rPr>
            </w:pPr>
            <w:r w:rsidRPr="004E4D1B">
              <w:rPr>
                <w:b/>
                <w:color w:val="000000"/>
              </w:rPr>
              <w:t>Delivery Commitment</w:t>
            </w:r>
          </w:p>
        </w:tc>
        <w:tc>
          <w:tcPr>
            <w:tcW w:w="3686" w:type="dxa"/>
          </w:tcPr>
          <w:p w:rsidR="004E4D1B" w:rsidRPr="004E4D1B" w:rsidRDefault="004E4D1B" w:rsidP="00E04B83">
            <w:pPr>
              <w:spacing w:beforeLines="20" w:before="48" w:after="0" w:line="276" w:lineRule="auto"/>
              <w:rPr>
                <w:b/>
                <w:bCs/>
              </w:rPr>
            </w:pPr>
            <w:r w:rsidRPr="004E4D1B">
              <w:rPr>
                <w:b/>
                <w:bCs/>
              </w:rPr>
              <w:t>Performance Indicator</w:t>
            </w:r>
          </w:p>
        </w:tc>
        <w:tc>
          <w:tcPr>
            <w:tcW w:w="992" w:type="dxa"/>
          </w:tcPr>
          <w:p w:rsidR="004E4D1B" w:rsidRPr="004E4D1B" w:rsidRDefault="004E4D1B" w:rsidP="00E04B83">
            <w:pPr>
              <w:spacing w:beforeLines="20" w:before="48" w:after="0" w:line="276" w:lineRule="auto"/>
              <w:rPr>
                <w:b/>
                <w:color w:val="FF0000"/>
              </w:rPr>
            </w:pPr>
            <w:r>
              <w:rPr>
                <w:b/>
              </w:rPr>
              <w:t>Y/N</w:t>
            </w:r>
          </w:p>
        </w:tc>
        <w:tc>
          <w:tcPr>
            <w:tcW w:w="4252" w:type="dxa"/>
          </w:tcPr>
          <w:p w:rsidR="004E4D1B" w:rsidRPr="004E4D1B" w:rsidRDefault="004E4D1B" w:rsidP="00E04B83">
            <w:pPr>
              <w:spacing w:beforeLines="20" w:before="48" w:after="0" w:line="276" w:lineRule="auto"/>
              <w:rPr>
                <w:b/>
                <w:color w:val="000000"/>
              </w:rPr>
            </w:pPr>
            <w:r w:rsidRPr="004E4D1B">
              <w:rPr>
                <w:b/>
                <w:color w:val="000000"/>
              </w:rPr>
              <w:t>Comment</w:t>
            </w:r>
          </w:p>
        </w:tc>
      </w:tr>
      <w:tr w:rsidR="009C6545" w:rsidRPr="00677455" w:rsidTr="00E04B83">
        <w:tc>
          <w:tcPr>
            <w:tcW w:w="5240" w:type="dxa"/>
          </w:tcPr>
          <w:p w:rsidR="009C6545" w:rsidRPr="004E4D1B" w:rsidRDefault="00F40641" w:rsidP="00E04B83">
            <w:pPr>
              <w:spacing w:beforeLines="20" w:before="48" w:after="0" w:line="276" w:lineRule="auto"/>
              <w:rPr>
                <w:b/>
              </w:rPr>
            </w:pPr>
            <w:r w:rsidRPr="00C56B20">
              <w:t>1.1.2: Quantify the impact of interventions on health and health inequalities by developing and disseminating the Informing Investment to reduce health inequalities (Triple I) tool across a range of national and local authority areas.</w:t>
            </w:r>
          </w:p>
        </w:tc>
        <w:tc>
          <w:tcPr>
            <w:tcW w:w="3686" w:type="dxa"/>
          </w:tcPr>
          <w:p w:rsidR="009C6545" w:rsidRPr="004E4D1B" w:rsidRDefault="00F40641" w:rsidP="00E04B83">
            <w:pPr>
              <w:spacing w:beforeLines="20" w:before="48" w:after="0" w:line="276" w:lineRule="auto"/>
              <w:rPr>
                <w:b/>
              </w:rPr>
            </w:pPr>
            <w:r w:rsidRPr="00C56B20">
              <w:t>We have published a report and related outputs summarising the effects of a range of interventions on health and health inequalities in Scotland</w:t>
            </w:r>
            <w:r w:rsidR="00E04B83">
              <w:t>.</w:t>
            </w:r>
          </w:p>
        </w:tc>
        <w:tc>
          <w:tcPr>
            <w:tcW w:w="992" w:type="dxa"/>
          </w:tcPr>
          <w:p w:rsidR="009C6545" w:rsidRPr="004E4D1B" w:rsidRDefault="00F40641" w:rsidP="00E04B83">
            <w:pPr>
              <w:spacing w:beforeLines="20" w:before="48" w:after="0" w:line="276" w:lineRule="auto"/>
              <w:rPr>
                <w:b/>
              </w:rPr>
            </w:pPr>
            <w:r w:rsidRPr="00E04B83">
              <w:rPr>
                <w:b/>
                <w:color w:val="00B050"/>
              </w:rPr>
              <w:t>Yes</w:t>
            </w:r>
          </w:p>
        </w:tc>
        <w:tc>
          <w:tcPr>
            <w:tcW w:w="4252" w:type="dxa"/>
          </w:tcPr>
          <w:p w:rsidR="00E04B83" w:rsidRDefault="00F40641" w:rsidP="00E04B83">
            <w:pPr>
              <w:spacing w:beforeLines="20" w:before="48" w:after="0" w:line="276" w:lineRule="auto"/>
            </w:pPr>
            <w:r>
              <w:rPr>
                <w:color w:val="000000"/>
                <w:lang w:val="en-US"/>
              </w:rPr>
              <w:t>The report and accompanying outputs were published on 24</w:t>
            </w:r>
            <w:r>
              <w:rPr>
                <w:color w:val="000000"/>
                <w:vertAlign w:val="superscript"/>
                <w:lang w:val="en-US"/>
              </w:rPr>
              <w:t>th</w:t>
            </w:r>
            <w:r>
              <w:rPr>
                <w:color w:val="000000"/>
                <w:lang w:val="en-US"/>
              </w:rPr>
              <w:t xml:space="preserve"> April</w:t>
            </w:r>
            <w:r w:rsidR="00E04B83">
              <w:rPr>
                <w:color w:val="000000"/>
                <w:lang w:val="en-US"/>
              </w:rPr>
              <w:t xml:space="preserve"> (see highlight above)</w:t>
            </w:r>
            <w:r>
              <w:rPr>
                <w:color w:val="000000"/>
                <w:lang w:val="en-US"/>
              </w:rPr>
              <w:t xml:space="preserve">. </w:t>
            </w:r>
          </w:p>
          <w:p w:rsidR="009C6545" w:rsidRPr="004E4D1B" w:rsidRDefault="009C6545" w:rsidP="00E04B83">
            <w:pPr>
              <w:spacing w:beforeLines="20" w:before="48" w:after="0" w:line="276" w:lineRule="auto"/>
            </w:pPr>
          </w:p>
        </w:tc>
      </w:tr>
      <w:tr w:rsidR="009C6545" w:rsidRPr="00677455" w:rsidTr="00E04B83">
        <w:tc>
          <w:tcPr>
            <w:tcW w:w="5240" w:type="dxa"/>
          </w:tcPr>
          <w:p w:rsidR="009C6545" w:rsidRPr="004E4D1B" w:rsidRDefault="00F40641" w:rsidP="00E04B83">
            <w:pPr>
              <w:spacing w:beforeLines="20" w:before="48" w:after="0" w:line="276" w:lineRule="auto"/>
              <w:rPr>
                <w:b/>
              </w:rPr>
            </w:pPr>
            <w:r w:rsidRPr="00C56B20">
              <w:t>1.1.4 Work with the National Records of Scotland (NRS) and relevant UK bodies to investigate recent patterns in life expectancy trends in Scotland so as to better understand the degree and determinants of such patterns, and make appropriate recommendations for action to be taken to mitigate or reverse adverse trends in Scotland.</w:t>
            </w:r>
          </w:p>
        </w:tc>
        <w:tc>
          <w:tcPr>
            <w:tcW w:w="3686" w:type="dxa"/>
          </w:tcPr>
          <w:p w:rsidR="009C6545" w:rsidRPr="004E4D1B" w:rsidRDefault="00F40641" w:rsidP="00E04B83">
            <w:pPr>
              <w:spacing w:beforeLines="20" w:before="48" w:after="0" w:line="276" w:lineRule="auto"/>
              <w:rPr>
                <w:b/>
              </w:rPr>
            </w:pPr>
            <w:r w:rsidRPr="00C56B20">
              <w:t>We have investigated how changes in deaths from different causes help explain how life expectancy changed from before to after 2010</w:t>
            </w:r>
            <w:r w:rsidR="00E04B83">
              <w:t>.</w:t>
            </w:r>
          </w:p>
        </w:tc>
        <w:tc>
          <w:tcPr>
            <w:tcW w:w="992" w:type="dxa"/>
          </w:tcPr>
          <w:p w:rsidR="009C6545" w:rsidRPr="004E4D1B" w:rsidRDefault="00E04B83" w:rsidP="00E04B83">
            <w:pPr>
              <w:spacing w:beforeLines="20" w:before="48" w:after="0" w:line="276" w:lineRule="auto"/>
              <w:rPr>
                <w:b/>
              </w:rPr>
            </w:pPr>
            <w:r>
              <w:rPr>
                <w:b/>
              </w:rPr>
              <w:t>Partly</w:t>
            </w:r>
          </w:p>
        </w:tc>
        <w:tc>
          <w:tcPr>
            <w:tcW w:w="4252" w:type="dxa"/>
          </w:tcPr>
          <w:p w:rsidR="009C6545" w:rsidRPr="004E4D1B" w:rsidRDefault="00F40641" w:rsidP="00E04B83">
            <w:pPr>
              <w:spacing w:beforeLines="20" w:before="48" w:after="0" w:line="276" w:lineRule="auto"/>
            </w:pPr>
            <w:r>
              <w:rPr>
                <w:color w:val="000000"/>
                <w:lang w:val="en-US"/>
              </w:rPr>
              <w:t xml:space="preserve">The paper has been written but </w:t>
            </w:r>
            <w:r w:rsidR="00E04B83">
              <w:rPr>
                <w:color w:val="000000"/>
                <w:lang w:val="en-US"/>
              </w:rPr>
              <w:t xml:space="preserve">has not yet been </w:t>
            </w:r>
            <w:r>
              <w:rPr>
                <w:color w:val="000000"/>
                <w:lang w:val="en-US"/>
              </w:rPr>
              <w:t>submitted to a pre-print server and academic journal.</w:t>
            </w:r>
            <w:r w:rsidR="00E04B83">
              <w:rPr>
                <w:color w:val="000000"/>
                <w:lang w:val="en-US"/>
              </w:rPr>
              <w:t xml:space="preserve">  This will be done in Q2.</w:t>
            </w:r>
          </w:p>
        </w:tc>
      </w:tr>
      <w:tr w:rsidR="009C6545" w:rsidRPr="00677455" w:rsidTr="00E04B83">
        <w:tc>
          <w:tcPr>
            <w:tcW w:w="5240" w:type="dxa"/>
          </w:tcPr>
          <w:p w:rsidR="009C6545" w:rsidRPr="004E4D1B" w:rsidRDefault="00F40641" w:rsidP="00E04B83">
            <w:pPr>
              <w:spacing w:beforeLines="20" w:before="48" w:after="0" w:line="276" w:lineRule="auto"/>
              <w:rPr>
                <w:b/>
              </w:rPr>
            </w:pPr>
            <w:r w:rsidRPr="00C56B20">
              <w:t>1.2.1:</w:t>
            </w:r>
            <w:r w:rsidR="00E04B83">
              <w:t xml:space="preserve"> </w:t>
            </w:r>
            <w:r w:rsidRPr="00C56B20">
              <w:t>Implement the evaluation plan for Minimum Unit Pricing (MUP), including managing and reporting on the component studies, co-ordinating with other relevant studies and communicating and engaging with stakeholders and the public.</w:t>
            </w:r>
          </w:p>
        </w:tc>
        <w:tc>
          <w:tcPr>
            <w:tcW w:w="3686" w:type="dxa"/>
          </w:tcPr>
          <w:p w:rsidR="009C6545" w:rsidRPr="004E4D1B" w:rsidRDefault="00F40641" w:rsidP="00E04B83">
            <w:pPr>
              <w:spacing w:beforeLines="20" w:before="48" w:after="0" w:line="276" w:lineRule="auto"/>
              <w:rPr>
                <w:b/>
              </w:rPr>
            </w:pPr>
            <w:r w:rsidRPr="00C56B20">
              <w:t>We have published and actively disseminated to key stakeholders the report from the Minimum Unit Pricing Compliance study</w:t>
            </w:r>
          </w:p>
        </w:tc>
        <w:tc>
          <w:tcPr>
            <w:tcW w:w="992" w:type="dxa"/>
          </w:tcPr>
          <w:p w:rsidR="009C6545" w:rsidRPr="004E4D1B" w:rsidRDefault="00E04B83" w:rsidP="00E04B83">
            <w:pPr>
              <w:spacing w:beforeLines="20" w:before="48" w:after="0" w:line="276" w:lineRule="auto"/>
              <w:rPr>
                <w:b/>
              </w:rPr>
            </w:pPr>
            <w:r>
              <w:rPr>
                <w:b/>
              </w:rPr>
              <w:t>Partly</w:t>
            </w:r>
          </w:p>
        </w:tc>
        <w:tc>
          <w:tcPr>
            <w:tcW w:w="4252" w:type="dxa"/>
          </w:tcPr>
          <w:p w:rsidR="00F40641" w:rsidRDefault="00F40641" w:rsidP="00E04B83">
            <w:pPr>
              <w:spacing w:beforeLines="20" w:before="48" w:after="0" w:line="276" w:lineRule="auto"/>
              <w:rPr>
                <w:color w:val="000000"/>
              </w:rPr>
            </w:pPr>
            <w:r>
              <w:rPr>
                <w:color w:val="000000"/>
              </w:rPr>
              <w:t xml:space="preserve">The report is complete but </w:t>
            </w:r>
            <w:r w:rsidR="00E04B83">
              <w:rPr>
                <w:color w:val="000000"/>
              </w:rPr>
              <w:t xml:space="preserve">capacity issues in the publishing team have delayed publication until Q2. </w:t>
            </w:r>
          </w:p>
          <w:p w:rsidR="009C6545" w:rsidRPr="004E4D1B" w:rsidRDefault="009C6545" w:rsidP="00E04B83">
            <w:pPr>
              <w:spacing w:beforeLines="20" w:before="48" w:after="0" w:line="276" w:lineRule="auto"/>
            </w:pPr>
          </w:p>
        </w:tc>
      </w:tr>
      <w:tr w:rsidR="009C6545" w:rsidRPr="00677455" w:rsidTr="00E04B83">
        <w:tc>
          <w:tcPr>
            <w:tcW w:w="5240" w:type="dxa"/>
          </w:tcPr>
          <w:p w:rsidR="009C6545" w:rsidRPr="00FC7594" w:rsidRDefault="00F40641" w:rsidP="00E04B83">
            <w:pPr>
              <w:spacing w:beforeLines="20" w:before="48" w:after="0" w:line="276" w:lineRule="auto"/>
              <w:rPr>
                <w:rFonts w:eastAsia="Times New Roman"/>
                <w:color w:val="000000"/>
              </w:rPr>
            </w:pPr>
            <w:r w:rsidRPr="00C56B20">
              <w:lastRenderedPageBreak/>
              <w:t>1.3.1: Sustain the cross-cutting work of the public health collaborations we manage (the Scottish Public Health Network (ScotPHN), the Scottish Public Health Observatory (ScotPHO), the Public Health Evidence Network (PHEN) and the Health Economics Network for Scotland (HENS)) in order to deliver an agreed range of effective, efficient and sustainable public health actions on a ‘Once for Scotland’ basis and explore their role in Public Health Scotland.</w:t>
            </w:r>
          </w:p>
        </w:tc>
        <w:tc>
          <w:tcPr>
            <w:tcW w:w="3686" w:type="dxa"/>
          </w:tcPr>
          <w:p w:rsidR="009C6545" w:rsidRPr="004E4D1B" w:rsidRDefault="00F40641" w:rsidP="00E04B83">
            <w:pPr>
              <w:spacing w:beforeLines="20" w:before="48" w:after="0" w:line="276" w:lineRule="auto"/>
              <w:rPr>
                <w:b/>
              </w:rPr>
            </w:pPr>
            <w:r w:rsidRPr="00C56B20">
              <w:t>We have published and engaged on guidance on the appropriate and inappropriate uses of improvement sciences approaches to inform practitioners within Scotland</w:t>
            </w:r>
          </w:p>
        </w:tc>
        <w:tc>
          <w:tcPr>
            <w:tcW w:w="992" w:type="dxa"/>
          </w:tcPr>
          <w:p w:rsidR="009C6545" w:rsidRPr="004E4D1B" w:rsidRDefault="00F40641" w:rsidP="00E04B83">
            <w:pPr>
              <w:spacing w:beforeLines="20" w:before="48" w:after="0" w:line="276" w:lineRule="auto"/>
              <w:rPr>
                <w:b/>
              </w:rPr>
            </w:pPr>
            <w:r w:rsidRPr="00E04B83">
              <w:rPr>
                <w:b/>
                <w:color w:val="00B050"/>
              </w:rPr>
              <w:t>Yes</w:t>
            </w:r>
          </w:p>
        </w:tc>
        <w:tc>
          <w:tcPr>
            <w:tcW w:w="4252" w:type="dxa"/>
          </w:tcPr>
          <w:p w:rsidR="009C6545" w:rsidRPr="004E4D1B" w:rsidRDefault="00E04B83" w:rsidP="00E04B83">
            <w:pPr>
              <w:spacing w:beforeLines="20" w:before="48" w:after="0" w:line="276" w:lineRule="auto"/>
            </w:pPr>
            <w:r>
              <w:rPr>
                <w:color w:val="000000"/>
                <w:lang w:val="en-US"/>
              </w:rPr>
              <w:t>S</w:t>
            </w:r>
            <w:r w:rsidR="00F40641">
              <w:rPr>
                <w:color w:val="000000"/>
                <w:lang w:val="en-US"/>
              </w:rPr>
              <w:t>cotPHO presented this work as a poster at the recent “International Improvement Science and Research Symposium” in Glasgow as a means of disseminating to relevant practitioners. More work is underway to share this learning with key individuals and groups over the rest of the year.</w:t>
            </w:r>
          </w:p>
        </w:tc>
      </w:tr>
      <w:tr w:rsidR="00F40641" w:rsidRPr="00677455" w:rsidTr="00E04B83">
        <w:tc>
          <w:tcPr>
            <w:tcW w:w="5240" w:type="dxa"/>
          </w:tcPr>
          <w:p w:rsidR="00F40641" w:rsidRPr="00FC7594" w:rsidRDefault="00F40641" w:rsidP="00E04B83">
            <w:pPr>
              <w:spacing w:beforeLines="20" w:before="48" w:after="0" w:line="276" w:lineRule="auto"/>
              <w:rPr>
                <w:rFonts w:eastAsia="Times New Roman"/>
                <w:color w:val="000000"/>
              </w:rPr>
            </w:pPr>
            <w:r w:rsidRPr="00C56B20">
              <w:t>1.4.11 Work with national and local stakeholders to challenge mental health inequalities, stigma and discrimination, and support mental health and suicide prevention practitioners across all sectors through the provision of evidence and user-informed interventions around prevention and early intervention.</w:t>
            </w:r>
          </w:p>
        </w:tc>
        <w:tc>
          <w:tcPr>
            <w:tcW w:w="3686" w:type="dxa"/>
          </w:tcPr>
          <w:p w:rsidR="00F40641" w:rsidRPr="004E4D1B" w:rsidRDefault="00F40641" w:rsidP="00E04B83">
            <w:pPr>
              <w:spacing w:beforeLines="20" w:before="48" w:after="0" w:line="276" w:lineRule="auto"/>
              <w:rPr>
                <w:b/>
              </w:rPr>
            </w:pPr>
            <w:r w:rsidRPr="00C56B20">
              <w:t xml:space="preserve">Working with NHS Education for Scotland, we have developed the universal online mental health awareness and suicide prevention resource  </w:t>
            </w:r>
          </w:p>
        </w:tc>
        <w:tc>
          <w:tcPr>
            <w:tcW w:w="992" w:type="dxa"/>
          </w:tcPr>
          <w:p w:rsidR="00F40641" w:rsidRPr="00E04B83" w:rsidRDefault="00F40641" w:rsidP="00E04B83">
            <w:pPr>
              <w:spacing w:beforeLines="20" w:before="48" w:after="0" w:line="276" w:lineRule="auto"/>
              <w:rPr>
                <w:b/>
                <w:color w:val="00B050"/>
              </w:rPr>
            </w:pPr>
            <w:r w:rsidRPr="00E04B83">
              <w:rPr>
                <w:b/>
                <w:color w:val="00B050"/>
              </w:rPr>
              <w:t>Yes</w:t>
            </w:r>
          </w:p>
        </w:tc>
        <w:tc>
          <w:tcPr>
            <w:tcW w:w="4252" w:type="dxa"/>
          </w:tcPr>
          <w:p w:rsidR="00F40641" w:rsidRPr="00861583" w:rsidRDefault="00F40641" w:rsidP="00E04B83">
            <w:pPr>
              <w:spacing w:beforeLines="20" w:before="48" w:after="0" w:line="276" w:lineRule="auto"/>
              <w:rPr>
                <w:color w:val="1F497D"/>
                <w:lang w:val="en-US"/>
              </w:rPr>
            </w:pPr>
            <w:r w:rsidRPr="00861583">
              <w:rPr>
                <w:color w:val="000000"/>
                <w:lang w:val="en-US"/>
              </w:rPr>
              <w:t xml:space="preserve">We have delivered three animations on time and in scope </w:t>
            </w:r>
            <w:r w:rsidR="00E04B83">
              <w:rPr>
                <w:color w:val="000000"/>
                <w:lang w:val="en-US"/>
              </w:rPr>
              <w:t>(see highlight above).</w:t>
            </w:r>
          </w:p>
          <w:p w:rsidR="00F40641" w:rsidRPr="004E4D1B" w:rsidRDefault="00F40641" w:rsidP="00E04B83">
            <w:pPr>
              <w:spacing w:beforeLines="20" w:before="48" w:after="0" w:line="276" w:lineRule="auto"/>
            </w:pPr>
          </w:p>
        </w:tc>
      </w:tr>
    </w:tbl>
    <w:p w:rsidR="00DA333C" w:rsidRDefault="00DA333C" w:rsidP="00E04B83">
      <w:pPr>
        <w:spacing w:beforeLines="20" w:before="48" w:after="0" w:line="276" w:lineRule="auto"/>
        <w:rPr>
          <w:b/>
        </w:rPr>
        <w:sectPr w:rsidR="00DA333C" w:rsidSect="00DA333C">
          <w:pgSz w:w="16838" w:h="11906" w:orient="landscape"/>
          <w:pgMar w:top="1800" w:right="1440" w:bottom="1800" w:left="1440" w:header="708" w:footer="708" w:gutter="0"/>
          <w:cols w:space="708"/>
          <w:docGrid w:linePitch="360"/>
        </w:sectPr>
      </w:pPr>
    </w:p>
    <w:p w:rsidR="0003394E" w:rsidRDefault="0003394E" w:rsidP="00E04B83">
      <w:pPr>
        <w:spacing w:beforeLines="20" w:before="48" w:after="0" w:line="276" w:lineRule="auto"/>
        <w:rPr>
          <w:b/>
        </w:rPr>
      </w:pPr>
      <w:r w:rsidRPr="003A5504">
        <w:rPr>
          <w:b/>
        </w:rPr>
        <w:lastRenderedPageBreak/>
        <w:t>Issues affecting delivery</w:t>
      </w:r>
      <w:r w:rsidR="00776A5C">
        <w:rPr>
          <w:b/>
        </w:rPr>
        <w:t xml:space="preserve"> in Quarter 1</w:t>
      </w:r>
    </w:p>
    <w:p w:rsidR="00C735DC" w:rsidRDefault="00C735DC" w:rsidP="00E04B83">
      <w:pPr>
        <w:spacing w:beforeLines="20" w:before="48" w:after="0" w:line="276" w:lineRule="auto"/>
      </w:pPr>
      <w:r>
        <w:rPr>
          <w:noProof/>
        </w:rPr>
        <w:drawing>
          <wp:inline distT="0" distB="0" distL="0" distR="0" wp14:anchorId="1F5083B5" wp14:editId="6ED968BB">
            <wp:extent cx="5234940" cy="2743200"/>
            <wp:effectExtent l="0" t="0" r="381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33E3" w:rsidRDefault="002B33E3" w:rsidP="00E04B83">
      <w:pPr>
        <w:spacing w:beforeLines="20" w:before="48" w:after="0" w:line="276" w:lineRule="auto"/>
      </w:pPr>
    </w:p>
    <w:p w:rsidR="002B33E3" w:rsidRDefault="00121207" w:rsidP="00E04B83">
      <w:pPr>
        <w:spacing w:beforeLines="20" w:before="48" w:after="0" w:line="276" w:lineRule="auto"/>
      </w:pPr>
      <w:r>
        <w:t>Active management of the issues above includes:</w:t>
      </w:r>
    </w:p>
    <w:p w:rsidR="002B33E3" w:rsidRPr="002B33E3" w:rsidRDefault="002B33E3" w:rsidP="00265D9C">
      <w:pPr>
        <w:pStyle w:val="ListParagraph"/>
        <w:numPr>
          <w:ilvl w:val="0"/>
          <w:numId w:val="10"/>
        </w:numPr>
        <w:spacing w:beforeLines="20" w:before="48" w:after="0" w:line="276" w:lineRule="auto"/>
        <w:rPr>
          <w:color w:val="000000"/>
        </w:rPr>
      </w:pPr>
      <w:r>
        <w:t>We are looking at how to provide greater resourcing for the adverse mortality work.</w:t>
      </w:r>
      <w:r w:rsidRPr="002B33E3">
        <w:rPr>
          <w:color w:val="000000"/>
        </w:rPr>
        <w:t xml:space="preserve"> The need to </w:t>
      </w:r>
      <w:r>
        <w:rPr>
          <w:color w:val="000000"/>
        </w:rPr>
        <w:t xml:space="preserve">prioritise resources on this area of work </w:t>
      </w:r>
      <w:r w:rsidRPr="002B33E3">
        <w:rPr>
          <w:color w:val="000000"/>
        </w:rPr>
        <w:t xml:space="preserve">may impact on </w:t>
      </w:r>
      <w:r>
        <w:rPr>
          <w:color w:val="000000"/>
        </w:rPr>
        <w:t xml:space="preserve">other </w:t>
      </w:r>
      <w:r w:rsidRPr="002B33E3">
        <w:rPr>
          <w:color w:val="000000"/>
        </w:rPr>
        <w:t>work programmes as the year progresses.</w:t>
      </w:r>
    </w:p>
    <w:p w:rsidR="002B33E3" w:rsidRDefault="00476583" w:rsidP="00265D9C">
      <w:pPr>
        <w:pStyle w:val="ListParagraph"/>
        <w:numPr>
          <w:ilvl w:val="0"/>
          <w:numId w:val="10"/>
        </w:numPr>
        <w:spacing w:beforeLines="20" w:before="48" w:after="0" w:line="276" w:lineRule="auto"/>
      </w:pPr>
      <w:r w:rsidRPr="00B05AC3">
        <w:t xml:space="preserve">Ongoing vacancies in the alcohol team are being actively managed and should be resolved soon.  </w:t>
      </w:r>
    </w:p>
    <w:p w:rsidR="00476583" w:rsidRPr="002B33E3" w:rsidRDefault="002B33E3" w:rsidP="00265D9C">
      <w:pPr>
        <w:pStyle w:val="ListParagraph"/>
        <w:numPr>
          <w:ilvl w:val="0"/>
          <w:numId w:val="10"/>
        </w:numPr>
        <w:spacing w:beforeLines="20" w:before="48" w:after="0" w:line="276" w:lineRule="auto"/>
      </w:pPr>
      <w:r w:rsidRPr="002B33E3">
        <w:rPr>
          <w:color w:val="000000"/>
        </w:rPr>
        <w:t xml:space="preserve">Consideration is being given to the development of ordering criteria to manage the increased demand for </w:t>
      </w:r>
      <w:r w:rsidR="00476583" w:rsidRPr="002B33E3">
        <w:rPr>
          <w:color w:val="000000"/>
        </w:rPr>
        <w:t xml:space="preserve">training resources for mental health and suicide prevention.  </w:t>
      </w:r>
    </w:p>
    <w:p w:rsidR="00476583" w:rsidRDefault="00476583" w:rsidP="00E04B83">
      <w:pPr>
        <w:spacing w:beforeLines="20" w:before="48" w:after="0" w:line="276" w:lineRule="auto"/>
      </w:pPr>
    </w:p>
    <w:p w:rsidR="003A5504" w:rsidRPr="003A5504" w:rsidRDefault="003A5504" w:rsidP="00E04B83">
      <w:pPr>
        <w:spacing w:beforeLines="20" w:before="48" w:after="0" w:line="276" w:lineRule="auto"/>
        <w:rPr>
          <w:b/>
        </w:rPr>
      </w:pPr>
      <w:r w:rsidRPr="003A5504">
        <w:rPr>
          <w:b/>
        </w:rPr>
        <w:t>Financial data</w:t>
      </w:r>
    </w:p>
    <w:p w:rsidR="00DE4249" w:rsidRDefault="00DE4249" w:rsidP="00E04B83">
      <w:pPr>
        <w:spacing w:beforeLines="20" w:before="48" w:after="0" w:line="276" w:lineRule="auto"/>
      </w:pPr>
      <w:r>
        <w:rPr>
          <w:noProof/>
        </w:rPr>
        <w:drawing>
          <wp:inline distT="0" distB="0" distL="0" distR="0" wp14:anchorId="11014C45" wp14:editId="5ED9CE6E">
            <wp:extent cx="5227320" cy="2743200"/>
            <wp:effectExtent l="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33E3" w:rsidRDefault="002B33E3">
      <w:pPr>
        <w:spacing w:before="0" w:after="160" w:line="259" w:lineRule="auto"/>
        <w:rPr>
          <w:b/>
        </w:rPr>
      </w:pPr>
      <w:r>
        <w:rPr>
          <w:b/>
        </w:rPr>
        <w:br w:type="page"/>
      </w:r>
    </w:p>
    <w:p w:rsidR="00776A5C" w:rsidRPr="00564528" w:rsidRDefault="001636E1" w:rsidP="00E04B83">
      <w:pPr>
        <w:spacing w:beforeLines="20" w:before="48" w:after="0" w:line="276" w:lineRule="auto"/>
        <w:rPr>
          <w:b/>
        </w:rPr>
      </w:pPr>
      <w:r>
        <w:rPr>
          <w:b/>
        </w:rPr>
        <w:lastRenderedPageBreak/>
        <w:t>Staff time data</w:t>
      </w:r>
    </w:p>
    <w:p w:rsidR="004C72BE" w:rsidRDefault="004C72BE" w:rsidP="00E04B83">
      <w:pPr>
        <w:spacing w:beforeLines="20" w:before="48" w:after="0" w:line="276" w:lineRule="auto"/>
      </w:pPr>
      <w:r>
        <w:rPr>
          <w:noProof/>
        </w:rPr>
        <w:drawing>
          <wp:inline distT="0" distB="0" distL="0" distR="0" wp14:anchorId="76863129" wp14:editId="186A0707">
            <wp:extent cx="5274310" cy="2610485"/>
            <wp:effectExtent l="0" t="0" r="254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72BE" w:rsidRPr="00776A5C" w:rsidRDefault="004C72BE" w:rsidP="00E04B83">
      <w:pPr>
        <w:spacing w:beforeLines="20" w:before="48" w:after="0" w:line="276" w:lineRule="auto"/>
      </w:pPr>
      <w:r>
        <w:rPr>
          <w:noProof/>
        </w:rPr>
        <w:drawing>
          <wp:inline distT="0" distB="0" distL="0" distR="0" wp14:anchorId="254AA281" wp14:editId="40552D9E">
            <wp:extent cx="5303520" cy="2651760"/>
            <wp:effectExtent l="0" t="0" r="1143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33E3" w:rsidRDefault="002B33E3" w:rsidP="00E04B83">
      <w:pPr>
        <w:spacing w:beforeLines="20" w:before="48" w:after="0" w:line="276" w:lineRule="auto"/>
        <w:rPr>
          <w:b/>
          <w:szCs w:val="32"/>
        </w:rPr>
      </w:pPr>
    </w:p>
    <w:p w:rsidR="00476583" w:rsidRPr="002B33E3" w:rsidRDefault="00476583" w:rsidP="00E04B83">
      <w:pPr>
        <w:spacing w:beforeLines="20" w:before="48" w:after="0" w:line="276" w:lineRule="auto"/>
        <w:rPr>
          <w:b/>
          <w:szCs w:val="32"/>
        </w:rPr>
      </w:pPr>
      <w:r w:rsidRPr="002B33E3">
        <w:rPr>
          <w:b/>
          <w:szCs w:val="32"/>
        </w:rPr>
        <w:t>Coming up in Quarter 2</w:t>
      </w:r>
    </w:p>
    <w:p w:rsidR="002B33E3" w:rsidRDefault="00130052" w:rsidP="00265D9C">
      <w:pPr>
        <w:pStyle w:val="ListParagraph"/>
        <w:numPr>
          <w:ilvl w:val="0"/>
          <w:numId w:val="11"/>
        </w:numPr>
        <w:spacing w:beforeLines="20" w:before="48" w:after="0" w:line="276" w:lineRule="auto"/>
        <w:rPr>
          <w:color w:val="000000"/>
        </w:rPr>
      </w:pPr>
      <w:r w:rsidRPr="002B33E3">
        <w:rPr>
          <w:color w:val="000000"/>
        </w:rPr>
        <w:t>The Alcohol Minimum Unit Price Compliance report will be published on 1 August and the Economic Impact report in September.</w:t>
      </w:r>
    </w:p>
    <w:p w:rsidR="002B33E3" w:rsidRPr="002B33E3" w:rsidRDefault="002B33E3" w:rsidP="00265D9C">
      <w:pPr>
        <w:pStyle w:val="ListParagraph"/>
        <w:numPr>
          <w:ilvl w:val="0"/>
          <w:numId w:val="11"/>
        </w:numPr>
        <w:spacing w:beforeLines="20" w:before="48" w:after="0" w:line="276" w:lineRule="auto"/>
        <w:rPr>
          <w:color w:val="000000"/>
        </w:rPr>
      </w:pPr>
      <w:r>
        <w:rPr>
          <w:color w:val="000000"/>
        </w:rPr>
        <w:t xml:space="preserve">The </w:t>
      </w:r>
      <w:r w:rsidR="00130052" w:rsidRPr="00B05AC3">
        <w:t xml:space="preserve">Very </w:t>
      </w:r>
      <w:r>
        <w:t>B</w:t>
      </w:r>
      <w:r w:rsidR="00130052" w:rsidRPr="00B05AC3">
        <w:t xml:space="preserve">rief </w:t>
      </w:r>
      <w:r>
        <w:t>A</w:t>
      </w:r>
      <w:r w:rsidR="00130052" w:rsidRPr="00B05AC3">
        <w:t xml:space="preserve">dvice on Smoking eLearning module will </w:t>
      </w:r>
      <w:r>
        <w:t>be l</w:t>
      </w:r>
      <w:r w:rsidR="00130052" w:rsidRPr="00B05AC3">
        <w:t>aunch</w:t>
      </w:r>
      <w:r>
        <w:t>ed</w:t>
      </w:r>
      <w:r w:rsidR="00130052" w:rsidRPr="00B05AC3">
        <w:t xml:space="preserve">. </w:t>
      </w:r>
    </w:p>
    <w:p w:rsidR="002B33E3" w:rsidRDefault="00130052" w:rsidP="00265D9C">
      <w:pPr>
        <w:pStyle w:val="ListParagraph"/>
        <w:numPr>
          <w:ilvl w:val="0"/>
          <w:numId w:val="11"/>
        </w:numPr>
        <w:spacing w:beforeLines="20" w:before="48" w:after="0" w:line="276" w:lineRule="auto"/>
        <w:rPr>
          <w:color w:val="000000"/>
        </w:rPr>
      </w:pPr>
      <w:r w:rsidRPr="002B33E3">
        <w:rPr>
          <w:color w:val="000000"/>
        </w:rPr>
        <w:t xml:space="preserve">We will present on Alcohol Brief Interventions at a workshop at </w:t>
      </w:r>
      <w:hyperlink r:id="rId22" w:history="1">
        <w:r w:rsidRPr="00B05AC3">
          <w:rPr>
            <w:rStyle w:val="Hyperlink"/>
          </w:rPr>
          <w:t>INEBRIA 2019</w:t>
        </w:r>
      </w:hyperlink>
      <w:r w:rsidRPr="002B33E3">
        <w:rPr>
          <w:color w:val="000000"/>
        </w:rPr>
        <w:t xml:space="preserve"> in Luebeck.</w:t>
      </w:r>
    </w:p>
    <w:p w:rsidR="00496E98" w:rsidRPr="002B33E3" w:rsidRDefault="00130052" w:rsidP="00265D9C">
      <w:pPr>
        <w:pStyle w:val="ListParagraph"/>
        <w:numPr>
          <w:ilvl w:val="0"/>
          <w:numId w:val="11"/>
        </w:numPr>
        <w:spacing w:beforeLines="20" w:before="48" w:after="0" w:line="276" w:lineRule="auto"/>
        <w:rPr>
          <w:color w:val="000000"/>
        </w:rPr>
      </w:pPr>
      <w:r w:rsidRPr="002B33E3">
        <w:rPr>
          <w:color w:val="000000"/>
          <w:lang w:val="en-US"/>
        </w:rPr>
        <w:t>Two articles based on the Triple I project will be submitted to scientific journals for peer review, and the work will be presented at the Public Health England conference in September.   </w:t>
      </w:r>
    </w:p>
    <w:p w:rsidR="00EB2862" w:rsidRDefault="00EB2862" w:rsidP="00E04B83">
      <w:pPr>
        <w:spacing w:beforeLines="20" w:before="48" w:after="0" w:line="276" w:lineRule="auto"/>
        <w:rPr>
          <w:sz w:val="32"/>
          <w:szCs w:val="32"/>
        </w:rPr>
      </w:pPr>
    </w:p>
    <w:p w:rsidR="00496E98" w:rsidRDefault="00496E98" w:rsidP="00E04B83">
      <w:pPr>
        <w:spacing w:beforeLines="20" w:before="48" w:after="0" w:line="276" w:lineRule="auto"/>
        <w:rPr>
          <w:b/>
          <w:sz w:val="32"/>
          <w:szCs w:val="32"/>
        </w:rPr>
      </w:pPr>
    </w:p>
    <w:p w:rsidR="00496E98" w:rsidRDefault="00496E98" w:rsidP="00E04B83">
      <w:pPr>
        <w:spacing w:beforeLines="20" w:before="48" w:after="0" w:line="276" w:lineRule="auto"/>
        <w:rPr>
          <w:b/>
          <w:sz w:val="32"/>
          <w:szCs w:val="32"/>
        </w:rPr>
      </w:pPr>
    </w:p>
    <w:p w:rsidR="00130052" w:rsidRPr="00E04B83" w:rsidRDefault="00130052" w:rsidP="00E04B83">
      <w:pPr>
        <w:spacing w:beforeLines="20" w:before="48" w:after="0" w:line="276" w:lineRule="auto"/>
      </w:pPr>
    </w:p>
    <w:p w:rsidR="001636E1" w:rsidRPr="00B21046" w:rsidRDefault="001636E1" w:rsidP="002B33E3">
      <w:pPr>
        <w:pStyle w:val="Bhead"/>
        <w:spacing w:beforeLines="20" w:before="48" w:after="0" w:line="276" w:lineRule="auto"/>
        <w:ind w:right="-483"/>
      </w:pPr>
      <w:bookmarkStart w:id="4" w:name="_Toc18312836"/>
      <w:r w:rsidRPr="00B21046">
        <w:lastRenderedPageBreak/>
        <w:t>Strategic Priority 2: Children, Young People and Families</w:t>
      </w:r>
      <w:bookmarkEnd w:id="4"/>
    </w:p>
    <w:p w:rsidR="002B33E3" w:rsidRDefault="002B33E3" w:rsidP="002B33E3">
      <w:pPr>
        <w:pStyle w:val="Chead"/>
        <w:spacing w:beforeLines="20" w:before="48" w:after="0" w:line="276" w:lineRule="auto"/>
        <w:rPr>
          <w:sz w:val="24"/>
        </w:rPr>
      </w:pPr>
    </w:p>
    <w:p w:rsidR="00121207" w:rsidRPr="00121207" w:rsidRDefault="00BF3DFD" w:rsidP="00121207">
      <w:pPr>
        <w:pStyle w:val="Chead"/>
        <w:spacing w:beforeLines="20" w:before="48" w:after="0" w:line="276" w:lineRule="auto"/>
        <w:rPr>
          <w:sz w:val="24"/>
        </w:rPr>
      </w:pPr>
      <w:r w:rsidRPr="002B33E3">
        <w:rPr>
          <w:sz w:val="24"/>
        </w:rPr>
        <w:t>Highlights</w:t>
      </w:r>
      <w:r w:rsidR="00776A5C" w:rsidRPr="002B33E3">
        <w:rPr>
          <w:sz w:val="24"/>
        </w:rPr>
        <w:t xml:space="preserve"> </w:t>
      </w:r>
      <w:r w:rsidR="00121207" w:rsidRPr="00121207">
        <w:rPr>
          <w:sz w:val="24"/>
        </w:rPr>
        <w:t>from Quarter 1</w:t>
      </w:r>
    </w:p>
    <w:p w:rsidR="00C735DC" w:rsidRDefault="002B33E3" w:rsidP="00E04B83">
      <w:pPr>
        <w:spacing w:beforeLines="20" w:before="48" w:after="0" w:line="276" w:lineRule="auto"/>
        <w:rPr>
          <w:i/>
          <w:color w:val="000000"/>
        </w:rPr>
      </w:pPr>
      <w:r w:rsidRPr="002B33E3">
        <w:rPr>
          <w:color w:val="000000"/>
        </w:rPr>
        <w:t>We are working to support, and provide evidence for, the implementation of the evaluation framework for the expansion of Early Learning and Childcare</w:t>
      </w:r>
      <w:r w:rsidR="00121207">
        <w:rPr>
          <w:color w:val="000000"/>
        </w:rPr>
        <w:t xml:space="preserve"> (ELC)</w:t>
      </w:r>
      <w:r w:rsidRPr="002B33E3">
        <w:rPr>
          <w:color w:val="000000"/>
        </w:rPr>
        <w:t>.</w:t>
      </w:r>
      <w:r w:rsidR="00121207">
        <w:rPr>
          <w:color w:val="000000"/>
        </w:rPr>
        <w:t xml:space="preserve">  We have completed data collection for the second p</w:t>
      </w:r>
      <w:r w:rsidR="00C735DC" w:rsidRPr="002B33E3">
        <w:rPr>
          <w:color w:val="000000"/>
        </w:rPr>
        <w:t xml:space="preserve">hase </w:t>
      </w:r>
      <w:r w:rsidR="00121207">
        <w:rPr>
          <w:color w:val="000000"/>
        </w:rPr>
        <w:t>of the</w:t>
      </w:r>
      <w:r w:rsidR="00C735DC" w:rsidRPr="002B33E3">
        <w:rPr>
          <w:color w:val="000000"/>
        </w:rPr>
        <w:t xml:space="preserve"> </w:t>
      </w:r>
      <w:r w:rsidR="00C735DC" w:rsidRPr="00E04B83">
        <w:rPr>
          <w:color w:val="000000"/>
        </w:rPr>
        <w:t>evaluation</w:t>
      </w:r>
      <w:r w:rsidR="00121207">
        <w:rPr>
          <w:color w:val="000000"/>
        </w:rPr>
        <w:t xml:space="preserve">, with data </w:t>
      </w:r>
      <w:r w:rsidR="00C735DC" w:rsidRPr="00E04B83">
        <w:rPr>
          <w:color w:val="000000"/>
        </w:rPr>
        <w:t>collected from approximately 1</w:t>
      </w:r>
      <w:r w:rsidR="00121207">
        <w:rPr>
          <w:color w:val="000000"/>
        </w:rPr>
        <w:t>,</w:t>
      </w:r>
      <w:r w:rsidR="00C735DC" w:rsidRPr="00E04B83">
        <w:rPr>
          <w:color w:val="000000"/>
        </w:rPr>
        <w:t>750 children and 1</w:t>
      </w:r>
      <w:r w:rsidR="00121207">
        <w:rPr>
          <w:color w:val="000000"/>
        </w:rPr>
        <w:t>,</w:t>
      </w:r>
      <w:r w:rsidR="00C735DC" w:rsidRPr="00E04B83">
        <w:rPr>
          <w:color w:val="000000"/>
        </w:rPr>
        <w:t xml:space="preserve">300 parents. Analysis </w:t>
      </w:r>
      <w:r w:rsidR="00121207">
        <w:rPr>
          <w:color w:val="000000"/>
        </w:rPr>
        <w:t>of the data will start in Q2.</w:t>
      </w:r>
    </w:p>
    <w:p w:rsidR="00C735DC" w:rsidRPr="00E04B83" w:rsidRDefault="00C735DC" w:rsidP="00E04B83">
      <w:pPr>
        <w:spacing w:beforeLines="20" w:before="48" w:after="0" w:line="276" w:lineRule="auto"/>
        <w:rPr>
          <w:color w:val="000000"/>
        </w:rPr>
      </w:pPr>
    </w:p>
    <w:p w:rsidR="00C735DC" w:rsidRDefault="00C735DC" w:rsidP="00E04B83">
      <w:pPr>
        <w:spacing w:beforeLines="20" w:before="48" w:after="0" w:line="276" w:lineRule="auto"/>
        <w:rPr>
          <w:i/>
        </w:rPr>
      </w:pPr>
      <w:r w:rsidRPr="00E04B83">
        <w:rPr>
          <w:color w:val="000000"/>
        </w:rPr>
        <w:t xml:space="preserve">The ACE enquiry pilot with GP practices is now established and a networking event was held in June to share progress and plans for the evaluation. The evaluation framework has also been </w:t>
      </w:r>
      <w:r w:rsidR="007F0FD3" w:rsidRPr="00C735DC">
        <w:rPr>
          <w:color w:val="000000"/>
        </w:rPr>
        <w:t>established</w:t>
      </w:r>
      <w:r w:rsidRPr="00E04B83">
        <w:rPr>
          <w:color w:val="000000"/>
        </w:rPr>
        <w:t xml:space="preserve"> with full sign up from participating GPs. </w:t>
      </w:r>
    </w:p>
    <w:p w:rsidR="00C735DC" w:rsidRPr="00E04B83" w:rsidRDefault="00C735DC" w:rsidP="00E04B83">
      <w:pPr>
        <w:spacing w:beforeLines="20" w:before="48" w:after="0" w:line="276" w:lineRule="auto"/>
        <w:rPr>
          <w:color w:val="000000"/>
        </w:rPr>
      </w:pPr>
    </w:p>
    <w:p w:rsidR="00121207" w:rsidRDefault="00121207" w:rsidP="00121207">
      <w:pPr>
        <w:autoSpaceDE w:val="0"/>
        <w:autoSpaceDN w:val="0"/>
        <w:adjustRightInd w:val="0"/>
        <w:spacing w:beforeLines="20" w:before="48" w:after="0" w:line="276" w:lineRule="auto"/>
        <w:rPr>
          <w:color w:val="000000"/>
        </w:rPr>
      </w:pPr>
      <w:r w:rsidRPr="00121207">
        <w:rPr>
          <w:color w:val="000000"/>
        </w:rPr>
        <w:t xml:space="preserve">We are supporting </w:t>
      </w:r>
      <w:r w:rsidRPr="00121207">
        <w:rPr>
          <w:rFonts w:eastAsia="Times New Roman"/>
        </w:rPr>
        <w:t>local child poverty leads in Health Boards and Local Authorities to strengthen local action on child poverty under the Child Poverty (Scotland) Act 2017.</w:t>
      </w:r>
      <w:r>
        <w:rPr>
          <w:rFonts w:eastAsia="Times New Roman"/>
          <w:i/>
        </w:rPr>
        <w:t xml:space="preserve">  </w:t>
      </w:r>
      <w:r>
        <w:rPr>
          <w:color w:val="000000"/>
        </w:rPr>
        <w:t xml:space="preserve">This includes </w:t>
      </w:r>
      <w:r w:rsidRPr="00121207">
        <w:rPr>
          <w:color w:val="000000"/>
        </w:rPr>
        <w:t>provid</w:t>
      </w:r>
      <w:r>
        <w:rPr>
          <w:color w:val="000000"/>
        </w:rPr>
        <w:t xml:space="preserve">ing </w:t>
      </w:r>
      <w:r w:rsidRPr="00121207">
        <w:rPr>
          <w:color w:val="000000"/>
        </w:rPr>
        <w:t xml:space="preserve">a network for Local Authority education representatives who have a strategic remit to lead on and progress actions to address the cost barriers of school. </w:t>
      </w:r>
      <w:r>
        <w:rPr>
          <w:color w:val="000000"/>
        </w:rPr>
        <w:t xml:space="preserve"> The </w:t>
      </w:r>
      <w:r w:rsidRPr="00121207">
        <w:rPr>
          <w:color w:val="000000"/>
        </w:rPr>
        <w:t>Facing up to Child Poverty in Schools Practice Network</w:t>
      </w:r>
      <w:r>
        <w:rPr>
          <w:color w:val="000000"/>
        </w:rPr>
        <w:t xml:space="preserve"> </w:t>
      </w:r>
      <w:r w:rsidRPr="00121207">
        <w:rPr>
          <w:color w:val="000000"/>
        </w:rPr>
        <w:t xml:space="preserve">provides a structure </w:t>
      </w:r>
      <w:r>
        <w:rPr>
          <w:color w:val="000000"/>
        </w:rPr>
        <w:t xml:space="preserve">for peer support and </w:t>
      </w:r>
      <w:r w:rsidRPr="00121207">
        <w:rPr>
          <w:color w:val="000000"/>
        </w:rPr>
        <w:t xml:space="preserve">the exchange of </w:t>
      </w:r>
      <w:r>
        <w:rPr>
          <w:color w:val="000000"/>
        </w:rPr>
        <w:t xml:space="preserve">best </w:t>
      </w:r>
      <w:r w:rsidRPr="00121207">
        <w:rPr>
          <w:color w:val="000000"/>
        </w:rPr>
        <w:t>practice</w:t>
      </w:r>
      <w:r>
        <w:rPr>
          <w:color w:val="000000"/>
        </w:rPr>
        <w:t xml:space="preserve"> between national and local stakeholders.  The network established a subgroup in Q1 to look specifically at how </w:t>
      </w:r>
      <w:r w:rsidRPr="00E04B83">
        <w:rPr>
          <w:color w:val="000000"/>
        </w:rPr>
        <w:t>local authorities can work together to improv</w:t>
      </w:r>
      <w:r>
        <w:rPr>
          <w:color w:val="000000"/>
        </w:rPr>
        <w:t>e uptake</w:t>
      </w:r>
      <w:r w:rsidRPr="00121207">
        <w:rPr>
          <w:color w:val="000000"/>
        </w:rPr>
        <w:t xml:space="preserve"> </w:t>
      </w:r>
      <w:r>
        <w:rPr>
          <w:color w:val="000000"/>
        </w:rPr>
        <w:t xml:space="preserve">of </w:t>
      </w:r>
      <w:r w:rsidRPr="00E04B83">
        <w:rPr>
          <w:color w:val="000000"/>
        </w:rPr>
        <w:t>Educational Maintenance Allowance</w:t>
      </w:r>
      <w:r>
        <w:rPr>
          <w:color w:val="000000"/>
        </w:rPr>
        <w:t xml:space="preserve"> (</w:t>
      </w:r>
      <w:r w:rsidRPr="00121207">
        <w:rPr>
          <w:color w:val="000000"/>
        </w:rPr>
        <w:t xml:space="preserve">financial support </w:t>
      </w:r>
      <w:r>
        <w:rPr>
          <w:color w:val="000000"/>
        </w:rPr>
        <w:t>for</w:t>
      </w:r>
      <w:r w:rsidRPr="00121207">
        <w:rPr>
          <w:color w:val="000000"/>
        </w:rPr>
        <w:t xml:space="preserve"> eligible </w:t>
      </w:r>
      <w:r>
        <w:rPr>
          <w:color w:val="000000"/>
        </w:rPr>
        <w:t>16 – 19 year olds</w:t>
      </w:r>
      <w:r w:rsidRPr="00121207">
        <w:rPr>
          <w:color w:val="000000"/>
        </w:rPr>
        <w:t xml:space="preserve"> from</w:t>
      </w:r>
      <w:r>
        <w:rPr>
          <w:color w:val="000000"/>
        </w:rPr>
        <w:t xml:space="preserve"> </w:t>
      </w:r>
      <w:r w:rsidRPr="00121207">
        <w:rPr>
          <w:color w:val="000000"/>
        </w:rPr>
        <w:t>low income households</w:t>
      </w:r>
      <w:r>
        <w:rPr>
          <w:color w:val="000000"/>
        </w:rPr>
        <w:t xml:space="preserve">).  This will support a Scottish Government commitment in the first progress report of </w:t>
      </w:r>
      <w:hyperlink r:id="rId23" w:history="1">
        <w:r w:rsidRPr="00121207">
          <w:rPr>
            <w:rStyle w:val="Hyperlink"/>
            <w:noProof w:val="0"/>
          </w:rPr>
          <w:t>Every Child, Every Chance: The Tackling Child Poverty Delivery Plan 2018-22</w:t>
        </w:r>
      </w:hyperlink>
      <w:r>
        <w:rPr>
          <w:color w:val="000000"/>
        </w:rPr>
        <w:t>.</w:t>
      </w:r>
    </w:p>
    <w:p w:rsidR="00121207" w:rsidRDefault="00121207" w:rsidP="00121207">
      <w:pPr>
        <w:autoSpaceDE w:val="0"/>
        <w:autoSpaceDN w:val="0"/>
        <w:adjustRightInd w:val="0"/>
        <w:spacing w:beforeLines="20" w:before="48" w:after="0" w:line="276" w:lineRule="auto"/>
        <w:rPr>
          <w:color w:val="000000"/>
        </w:rPr>
      </w:pPr>
    </w:p>
    <w:p w:rsidR="00121207" w:rsidRPr="00E04B83" w:rsidRDefault="00121207" w:rsidP="00121207">
      <w:pPr>
        <w:spacing w:beforeLines="20" w:before="48" w:after="0" w:line="276" w:lineRule="auto"/>
        <w:rPr>
          <w:color w:val="000000"/>
        </w:rPr>
      </w:pPr>
      <w:r>
        <w:rPr>
          <w:color w:val="000000"/>
        </w:rPr>
        <w:t>In addition, w</w:t>
      </w:r>
      <w:r w:rsidRPr="00E04B83">
        <w:rPr>
          <w:color w:val="000000"/>
        </w:rPr>
        <w:t xml:space="preserve">ork is underway to undertake a needs assessment for Inverclyde on child poverty </w:t>
      </w:r>
      <w:r>
        <w:rPr>
          <w:color w:val="000000"/>
        </w:rPr>
        <w:t xml:space="preserve">through </w:t>
      </w:r>
      <w:r w:rsidRPr="00E04B83">
        <w:rPr>
          <w:color w:val="000000"/>
        </w:rPr>
        <w:t xml:space="preserve">a partnership </w:t>
      </w:r>
      <w:r>
        <w:rPr>
          <w:color w:val="000000"/>
        </w:rPr>
        <w:t>with the</w:t>
      </w:r>
      <w:r w:rsidRPr="00E04B83">
        <w:rPr>
          <w:color w:val="000000"/>
        </w:rPr>
        <w:t xml:space="preserve"> ISD LIST team</w:t>
      </w:r>
      <w:r>
        <w:rPr>
          <w:color w:val="000000"/>
        </w:rPr>
        <w:t xml:space="preserve">, Scottish Government and </w:t>
      </w:r>
      <w:r w:rsidRPr="00E04B83">
        <w:rPr>
          <w:color w:val="000000"/>
        </w:rPr>
        <w:t xml:space="preserve">stakeholders in Inverclyde. This will be written up as a case study and shared with other partnerships across Scotland. </w:t>
      </w:r>
    </w:p>
    <w:p w:rsidR="00121207" w:rsidRDefault="00121207" w:rsidP="00121207">
      <w:pPr>
        <w:autoSpaceDE w:val="0"/>
        <w:autoSpaceDN w:val="0"/>
        <w:adjustRightInd w:val="0"/>
        <w:spacing w:beforeLines="20" w:before="48" w:after="0" w:line="276" w:lineRule="auto"/>
        <w:rPr>
          <w:color w:val="000000"/>
        </w:rPr>
      </w:pPr>
    </w:p>
    <w:p w:rsidR="00121207" w:rsidRPr="00121207" w:rsidRDefault="00121207" w:rsidP="00121207">
      <w:pPr>
        <w:pStyle w:val="Chead"/>
        <w:spacing w:beforeLines="20" w:before="48" w:after="0" w:line="276" w:lineRule="auto"/>
        <w:rPr>
          <w:sz w:val="24"/>
        </w:rPr>
      </w:pPr>
      <w:r w:rsidRPr="00121207">
        <w:rPr>
          <w:sz w:val="24"/>
        </w:rPr>
        <w:t>Performance Information</w:t>
      </w:r>
    </w:p>
    <w:p w:rsidR="00636DC9" w:rsidRPr="00121207" w:rsidRDefault="00121207" w:rsidP="00E04B83">
      <w:pPr>
        <w:spacing w:beforeLines="20" w:before="48" w:after="0" w:line="276" w:lineRule="auto"/>
        <w:rPr>
          <w:szCs w:val="28"/>
        </w:rPr>
      </w:pPr>
      <w:r>
        <w:rPr>
          <w:szCs w:val="28"/>
        </w:rPr>
        <w:t>No performance indicators were due for completion in Quarter 1.</w:t>
      </w:r>
    </w:p>
    <w:p w:rsidR="00636DC9" w:rsidRDefault="00636DC9" w:rsidP="00E04B83">
      <w:pPr>
        <w:spacing w:beforeLines="20" w:before="48" w:after="0" w:line="276" w:lineRule="auto"/>
        <w:rPr>
          <w:b/>
          <w:sz w:val="28"/>
          <w:szCs w:val="28"/>
        </w:rPr>
      </w:pPr>
    </w:p>
    <w:p w:rsidR="007F0FD3" w:rsidRDefault="007F0FD3" w:rsidP="00E04B83">
      <w:pPr>
        <w:spacing w:beforeLines="20" w:before="48" w:after="0" w:line="276" w:lineRule="auto"/>
        <w:rPr>
          <w:b/>
          <w:sz w:val="28"/>
          <w:szCs w:val="28"/>
        </w:rPr>
      </w:pPr>
    </w:p>
    <w:p w:rsidR="007F0FD3" w:rsidRDefault="007F0FD3" w:rsidP="00E04B83">
      <w:pPr>
        <w:spacing w:beforeLines="20" w:before="48" w:after="0" w:line="276" w:lineRule="auto"/>
        <w:rPr>
          <w:b/>
          <w:sz w:val="28"/>
          <w:szCs w:val="28"/>
        </w:rPr>
      </w:pPr>
    </w:p>
    <w:p w:rsidR="007F0FD3" w:rsidRDefault="007F0FD3" w:rsidP="00E04B83">
      <w:pPr>
        <w:spacing w:beforeLines="20" w:before="48" w:after="0" w:line="276" w:lineRule="auto"/>
        <w:rPr>
          <w:b/>
          <w:sz w:val="28"/>
          <w:szCs w:val="28"/>
        </w:rPr>
      </w:pPr>
    </w:p>
    <w:p w:rsidR="00121207" w:rsidRDefault="00121207">
      <w:pPr>
        <w:spacing w:before="0" w:after="160" w:line="259" w:lineRule="auto"/>
        <w:rPr>
          <w:b/>
        </w:rPr>
      </w:pPr>
      <w:r>
        <w:rPr>
          <w:b/>
        </w:rPr>
        <w:br w:type="page"/>
      </w:r>
    </w:p>
    <w:p w:rsidR="00BD1601" w:rsidRDefault="00C62E27" w:rsidP="00E04B83">
      <w:pPr>
        <w:spacing w:beforeLines="20" w:before="48" w:after="0" w:line="276" w:lineRule="auto"/>
        <w:rPr>
          <w:b/>
        </w:rPr>
      </w:pPr>
      <w:r>
        <w:rPr>
          <w:b/>
        </w:rPr>
        <w:lastRenderedPageBreak/>
        <w:t>I</w:t>
      </w:r>
      <w:r w:rsidR="00BD1601" w:rsidRPr="003A5504">
        <w:rPr>
          <w:b/>
        </w:rPr>
        <w:t>ssues affecting delivery</w:t>
      </w:r>
      <w:r w:rsidR="00776A5C">
        <w:rPr>
          <w:b/>
        </w:rPr>
        <w:t xml:space="preserve"> in Q1</w:t>
      </w:r>
    </w:p>
    <w:p w:rsidR="00EE6676" w:rsidRDefault="00EE6676" w:rsidP="00E04B83">
      <w:pPr>
        <w:pStyle w:val="BodyText1"/>
        <w:adjustRightInd/>
        <w:spacing w:beforeLines="20" w:before="48" w:line="276" w:lineRule="auto"/>
      </w:pPr>
      <w:r>
        <w:rPr>
          <w:noProof/>
        </w:rPr>
        <w:drawing>
          <wp:inline distT="0" distB="0" distL="0" distR="0" wp14:anchorId="6A4548FD" wp14:editId="7BBDA482">
            <wp:extent cx="54102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46717" w:rsidRDefault="00E46717" w:rsidP="00E04B83">
      <w:pPr>
        <w:spacing w:beforeLines="20" w:before="48" w:after="0" w:line="276" w:lineRule="auto"/>
      </w:pPr>
    </w:p>
    <w:p w:rsidR="00121207" w:rsidRDefault="00121207" w:rsidP="00121207">
      <w:pPr>
        <w:spacing w:beforeLines="20" w:before="48" w:after="0" w:line="276" w:lineRule="auto"/>
      </w:pPr>
      <w:r>
        <w:t>Active management of the issues above includes:</w:t>
      </w:r>
    </w:p>
    <w:p w:rsidR="00C735DC" w:rsidRPr="00121207" w:rsidRDefault="00121207" w:rsidP="00265D9C">
      <w:pPr>
        <w:pStyle w:val="ListParagraph"/>
        <w:numPr>
          <w:ilvl w:val="0"/>
          <w:numId w:val="12"/>
        </w:numPr>
        <w:spacing w:beforeLines="20" w:before="48" w:after="0" w:line="276" w:lineRule="auto"/>
        <w:rPr>
          <w:color w:val="000000"/>
        </w:rPr>
      </w:pPr>
      <w:r>
        <w:rPr>
          <w:color w:val="000000"/>
        </w:rPr>
        <w:t xml:space="preserve">Working with stakeholders to renegotiate the timescales for work that has </w:t>
      </w:r>
      <w:r w:rsidR="00C735DC" w:rsidRPr="00121207">
        <w:rPr>
          <w:color w:val="000000"/>
        </w:rPr>
        <w:t xml:space="preserve">not </w:t>
      </w:r>
      <w:r>
        <w:rPr>
          <w:color w:val="000000"/>
        </w:rPr>
        <w:t>yet commenced</w:t>
      </w:r>
      <w:r w:rsidR="00C735DC" w:rsidRPr="00121207">
        <w:rPr>
          <w:color w:val="000000"/>
        </w:rPr>
        <w:t>.</w:t>
      </w:r>
    </w:p>
    <w:p w:rsidR="00130052" w:rsidRPr="00121207" w:rsidRDefault="00121207" w:rsidP="00265D9C">
      <w:pPr>
        <w:pStyle w:val="ListParagraph"/>
        <w:numPr>
          <w:ilvl w:val="0"/>
          <w:numId w:val="12"/>
        </w:numPr>
        <w:spacing w:beforeLines="20" w:before="48" w:after="0" w:line="276" w:lineRule="auto"/>
        <w:rPr>
          <w:color w:val="000000"/>
        </w:rPr>
      </w:pPr>
      <w:r>
        <w:rPr>
          <w:color w:val="000000"/>
        </w:rPr>
        <w:t>We requested a s</w:t>
      </w:r>
      <w:r w:rsidR="00130052" w:rsidRPr="00121207">
        <w:rPr>
          <w:color w:val="000000"/>
        </w:rPr>
        <w:t xml:space="preserve">light extension to the </w:t>
      </w:r>
      <w:r>
        <w:rPr>
          <w:color w:val="000000"/>
        </w:rPr>
        <w:t xml:space="preserve">deadline for delivery of the </w:t>
      </w:r>
      <w:r w:rsidR="00130052" w:rsidRPr="00121207">
        <w:rPr>
          <w:color w:val="000000"/>
        </w:rPr>
        <w:t>Co</w:t>
      </w:r>
      <w:r>
        <w:rPr>
          <w:color w:val="000000"/>
        </w:rPr>
        <w:t>st of the School Day evaluation.</w:t>
      </w:r>
    </w:p>
    <w:p w:rsidR="00130052" w:rsidRPr="00121207" w:rsidRDefault="00121207" w:rsidP="00265D9C">
      <w:pPr>
        <w:pStyle w:val="ListParagraph"/>
        <w:numPr>
          <w:ilvl w:val="0"/>
          <w:numId w:val="12"/>
        </w:numPr>
        <w:spacing w:beforeLines="20" w:before="48" w:after="0" w:line="276" w:lineRule="auto"/>
        <w:rPr>
          <w:color w:val="000000"/>
        </w:rPr>
      </w:pPr>
      <w:r w:rsidRPr="00121207">
        <w:rPr>
          <w:color w:val="000000"/>
        </w:rPr>
        <w:t xml:space="preserve">We received challenging feedback from stakeholders around the </w:t>
      </w:r>
      <w:r>
        <w:rPr>
          <w:color w:val="000000"/>
        </w:rPr>
        <w:t xml:space="preserve">census for the </w:t>
      </w:r>
      <w:r w:rsidRPr="00121207">
        <w:rPr>
          <w:color w:val="000000"/>
        </w:rPr>
        <w:t>collection of health and wellbeing data on pre-s</w:t>
      </w:r>
      <w:r>
        <w:rPr>
          <w:color w:val="000000"/>
        </w:rPr>
        <w:t xml:space="preserve">chool and school-aged children.  This was carefully managed and </w:t>
      </w:r>
      <w:r w:rsidR="00130052" w:rsidRPr="00121207">
        <w:rPr>
          <w:color w:val="000000"/>
        </w:rPr>
        <w:t xml:space="preserve">the work has been strengthened as a result. </w:t>
      </w:r>
    </w:p>
    <w:p w:rsidR="00130052" w:rsidRDefault="00130052" w:rsidP="00E04B83">
      <w:pPr>
        <w:spacing w:beforeLines="20" w:before="48" w:after="0" w:line="276" w:lineRule="auto"/>
        <w:rPr>
          <w:b/>
        </w:rPr>
      </w:pPr>
    </w:p>
    <w:p w:rsidR="00776A5C" w:rsidRPr="00DE4249" w:rsidRDefault="002971D8" w:rsidP="00E04B83">
      <w:pPr>
        <w:spacing w:beforeLines="20" w:before="48" w:after="0" w:line="276" w:lineRule="auto"/>
        <w:rPr>
          <w:b/>
        </w:rPr>
      </w:pPr>
      <w:r w:rsidRPr="003A5504">
        <w:rPr>
          <w:b/>
        </w:rPr>
        <w:t>Financial data</w:t>
      </w:r>
    </w:p>
    <w:p w:rsidR="00DE4249" w:rsidRDefault="00DE4249" w:rsidP="00E04B83">
      <w:pPr>
        <w:spacing w:beforeLines="20" w:before="48" w:after="0" w:line="276" w:lineRule="auto"/>
      </w:pPr>
      <w:r>
        <w:rPr>
          <w:noProof/>
        </w:rPr>
        <w:drawing>
          <wp:inline distT="0" distB="0" distL="0" distR="0" wp14:anchorId="24F66D1F" wp14:editId="60B119BF">
            <wp:extent cx="52349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0FD3" w:rsidRDefault="007F0FD3" w:rsidP="00E04B83">
      <w:pPr>
        <w:spacing w:beforeLines="20" w:before="48" w:after="0" w:line="276" w:lineRule="auto"/>
        <w:rPr>
          <w:b/>
        </w:rPr>
      </w:pPr>
    </w:p>
    <w:p w:rsidR="00121207" w:rsidRDefault="00121207">
      <w:pPr>
        <w:spacing w:before="0" w:after="160" w:line="259" w:lineRule="auto"/>
        <w:rPr>
          <w:b/>
        </w:rPr>
      </w:pPr>
      <w:r>
        <w:rPr>
          <w:b/>
        </w:rPr>
        <w:br w:type="page"/>
      </w:r>
    </w:p>
    <w:p w:rsidR="00776A5C" w:rsidRPr="00574425" w:rsidRDefault="002971D8" w:rsidP="00E04B83">
      <w:pPr>
        <w:spacing w:beforeLines="20" w:before="48" w:after="0" w:line="276" w:lineRule="auto"/>
        <w:rPr>
          <w:b/>
        </w:rPr>
      </w:pPr>
      <w:r>
        <w:rPr>
          <w:b/>
        </w:rPr>
        <w:lastRenderedPageBreak/>
        <w:t>Staff time data</w:t>
      </w:r>
    </w:p>
    <w:p w:rsidR="00574425" w:rsidRDefault="00574425" w:rsidP="00E04B83">
      <w:pPr>
        <w:spacing w:beforeLines="20" w:before="48" w:after="0" w:line="276" w:lineRule="auto"/>
      </w:pPr>
      <w:r>
        <w:rPr>
          <w:noProof/>
        </w:rPr>
        <w:drawing>
          <wp:inline distT="0" distB="0" distL="0" distR="0" wp14:anchorId="190DBC91" wp14:editId="1077EE50">
            <wp:extent cx="5274310" cy="2574290"/>
            <wp:effectExtent l="0" t="0" r="2540" b="165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4425" w:rsidRDefault="00574425" w:rsidP="00E04B83">
      <w:pPr>
        <w:spacing w:beforeLines="20" w:before="48" w:after="0" w:line="276" w:lineRule="auto"/>
      </w:pPr>
      <w:r>
        <w:rPr>
          <w:noProof/>
        </w:rPr>
        <w:drawing>
          <wp:inline distT="0" distB="0" distL="0" distR="0" wp14:anchorId="3F6805D1" wp14:editId="73AB7560">
            <wp:extent cx="5326380" cy="2677795"/>
            <wp:effectExtent l="0" t="0" r="7620"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1207" w:rsidRDefault="00121207" w:rsidP="00E04B83">
      <w:pPr>
        <w:spacing w:beforeLines="20" w:before="48" w:after="0" w:line="276" w:lineRule="auto"/>
        <w:rPr>
          <w:b/>
        </w:rPr>
      </w:pPr>
    </w:p>
    <w:p w:rsidR="00130052" w:rsidRDefault="00130052" w:rsidP="00E04B83">
      <w:pPr>
        <w:spacing w:beforeLines="20" w:before="48" w:after="0" w:line="276" w:lineRule="auto"/>
        <w:rPr>
          <w:b/>
        </w:rPr>
      </w:pPr>
      <w:r>
        <w:rPr>
          <w:b/>
        </w:rPr>
        <w:t>Coming up in Quarter 2</w:t>
      </w:r>
    </w:p>
    <w:p w:rsidR="00121207" w:rsidRDefault="00121207" w:rsidP="00265D9C">
      <w:pPr>
        <w:pStyle w:val="ListParagraph"/>
        <w:numPr>
          <w:ilvl w:val="0"/>
          <w:numId w:val="13"/>
        </w:numPr>
        <w:spacing w:beforeLines="20" w:before="48" w:after="0" w:line="276" w:lineRule="auto"/>
        <w:rPr>
          <w:color w:val="000000"/>
        </w:rPr>
      </w:pPr>
      <w:r>
        <w:rPr>
          <w:color w:val="000000"/>
        </w:rPr>
        <w:t>We will be reporting on e</w:t>
      </w:r>
      <w:r w:rsidR="00B75779" w:rsidRPr="00121207">
        <w:rPr>
          <w:color w:val="000000"/>
        </w:rPr>
        <w:t xml:space="preserve">valuability assessments for </w:t>
      </w:r>
      <w:r>
        <w:rPr>
          <w:color w:val="000000"/>
        </w:rPr>
        <w:t>p</w:t>
      </w:r>
      <w:r w:rsidR="00B75779" w:rsidRPr="00121207">
        <w:rPr>
          <w:color w:val="000000"/>
        </w:rPr>
        <w:t xml:space="preserve">erinatal mental health </w:t>
      </w:r>
      <w:r>
        <w:rPr>
          <w:color w:val="000000"/>
        </w:rPr>
        <w:t xml:space="preserve">and Best Start, both of which we will cover </w:t>
      </w:r>
      <w:r w:rsidR="00B75779" w:rsidRPr="00121207">
        <w:rPr>
          <w:color w:val="000000"/>
        </w:rPr>
        <w:t xml:space="preserve">prevention and early intervention </w:t>
      </w:r>
      <w:r>
        <w:rPr>
          <w:color w:val="000000"/>
        </w:rPr>
        <w:t xml:space="preserve">as a result of our influence. </w:t>
      </w:r>
    </w:p>
    <w:p w:rsidR="00B75779" w:rsidRPr="00121207" w:rsidRDefault="00B75779" w:rsidP="00265D9C">
      <w:pPr>
        <w:pStyle w:val="ListParagraph"/>
        <w:numPr>
          <w:ilvl w:val="0"/>
          <w:numId w:val="13"/>
        </w:numPr>
        <w:spacing w:beforeLines="20" w:before="48" w:after="0" w:line="276" w:lineRule="auto"/>
        <w:rPr>
          <w:color w:val="000000"/>
        </w:rPr>
      </w:pPr>
      <w:r w:rsidRPr="00121207">
        <w:rPr>
          <w:color w:val="000000"/>
        </w:rPr>
        <w:t xml:space="preserve">We will complete the process for re-designation as a </w:t>
      </w:r>
      <w:r w:rsidR="00121207">
        <w:rPr>
          <w:color w:val="000000"/>
        </w:rPr>
        <w:t>World Health Organization (</w:t>
      </w:r>
      <w:r w:rsidRPr="00121207">
        <w:rPr>
          <w:color w:val="000000"/>
        </w:rPr>
        <w:t>WHO</w:t>
      </w:r>
      <w:r w:rsidR="00121207">
        <w:rPr>
          <w:color w:val="000000"/>
        </w:rPr>
        <w:t>)</w:t>
      </w:r>
      <w:r w:rsidRPr="00121207">
        <w:rPr>
          <w:color w:val="000000"/>
        </w:rPr>
        <w:t xml:space="preserve"> Collaboration centre and will lead a WHO project seeking young people’s views on the priorities of the next child and adolescent strategy for Europe (2021-2030). This involves collaborati</w:t>
      </w:r>
      <w:r w:rsidR="00121207">
        <w:rPr>
          <w:color w:val="000000"/>
        </w:rPr>
        <w:t>ons from nations across Europe.</w:t>
      </w:r>
    </w:p>
    <w:p w:rsidR="00130052" w:rsidRDefault="00130052" w:rsidP="00E04B83">
      <w:pPr>
        <w:spacing w:beforeLines="20" w:before="48" w:after="0" w:line="276" w:lineRule="auto"/>
      </w:pPr>
    </w:p>
    <w:p w:rsidR="00533A72" w:rsidRDefault="00533A72" w:rsidP="00E04B83">
      <w:pPr>
        <w:spacing w:beforeLines="20" w:before="48" w:after="0" w:line="276" w:lineRule="auto"/>
      </w:pPr>
    </w:p>
    <w:p w:rsidR="00533A72" w:rsidRDefault="00533A72" w:rsidP="00E04B83">
      <w:pPr>
        <w:spacing w:beforeLines="20" w:before="48" w:after="0" w:line="276" w:lineRule="auto"/>
      </w:pPr>
    </w:p>
    <w:p w:rsidR="00203136" w:rsidRDefault="00203136" w:rsidP="00E04B83">
      <w:pPr>
        <w:spacing w:beforeLines="20" w:before="48" w:after="0" w:line="276" w:lineRule="auto"/>
      </w:pPr>
    </w:p>
    <w:p w:rsidR="00776A5C" w:rsidRDefault="00776A5C" w:rsidP="00E04B83">
      <w:pPr>
        <w:spacing w:beforeLines="20" w:before="48" w:after="0" w:line="276" w:lineRule="auto"/>
      </w:pPr>
    </w:p>
    <w:p w:rsidR="001636E1" w:rsidRDefault="001636E1" w:rsidP="00E04B83">
      <w:pPr>
        <w:pStyle w:val="Bhead"/>
        <w:spacing w:beforeLines="20" w:before="48" w:after="0" w:line="276" w:lineRule="auto"/>
      </w:pPr>
      <w:bookmarkStart w:id="5" w:name="_Toc18312837"/>
      <w:r>
        <w:lastRenderedPageBreak/>
        <w:t>Strategic Priority 3: A Fair and Inclusive Economy</w:t>
      </w:r>
      <w:bookmarkEnd w:id="5"/>
    </w:p>
    <w:p w:rsidR="00121207" w:rsidRDefault="00121207" w:rsidP="00E04B83">
      <w:pPr>
        <w:pStyle w:val="Chead"/>
        <w:spacing w:beforeLines="20" w:before="48" w:after="0" w:line="276" w:lineRule="auto"/>
      </w:pPr>
    </w:p>
    <w:p w:rsidR="00C735DC" w:rsidRPr="00121207" w:rsidRDefault="00C735DC" w:rsidP="00E04B83">
      <w:pPr>
        <w:pStyle w:val="Chead"/>
        <w:spacing w:beforeLines="20" w:before="48" w:after="0" w:line="276" w:lineRule="auto"/>
        <w:rPr>
          <w:sz w:val="24"/>
        </w:rPr>
      </w:pPr>
      <w:r w:rsidRPr="00121207">
        <w:rPr>
          <w:sz w:val="24"/>
        </w:rPr>
        <w:t>Highlights from Quarter 1</w:t>
      </w:r>
    </w:p>
    <w:p w:rsidR="00C735DC" w:rsidRPr="00421882" w:rsidRDefault="00C735DC" w:rsidP="00E04B83">
      <w:pPr>
        <w:spacing w:beforeLines="20" w:before="48" w:after="0" w:line="276" w:lineRule="auto"/>
      </w:pPr>
      <w:r w:rsidRPr="00421882">
        <w:t xml:space="preserve">We provided detailed evidence and data for the Scottish Directors of Public Health (DsPH) response to </w:t>
      </w:r>
      <w:r w:rsidR="00621B61">
        <w:t>the UN Special Rapporteur on P</w:t>
      </w:r>
      <w:r w:rsidRPr="00421882">
        <w:t>overty</w:t>
      </w:r>
      <w:r w:rsidR="00621B61">
        <w:t xml:space="preserve">’s </w:t>
      </w:r>
      <w:r w:rsidRPr="00421882">
        <w:t xml:space="preserve">investigation into poverty in the UK. This contributed to the very substantial media and public discussion on the extent of poverty in the UK and the role of </w:t>
      </w:r>
      <w:r w:rsidR="00621B61">
        <w:t xml:space="preserve">the social security system and </w:t>
      </w:r>
      <w:r w:rsidRPr="00421882">
        <w:t xml:space="preserve">welfare reform in particular in driving this. This helped to create the conditions for the </w:t>
      </w:r>
      <w:r w:rsidR="00621B61">
        <w:t xml:space="preserve">Scottish Child Payment initiative, </w:t>
      </w:r>
      <w:hyperlink r:id="rId28" w:history="1">
        <w:r w:rsidR="00621B61" w:rsidRPr="00621B61">
          <w:rPr>
            <w:rStyle w:val="Hyperlink"/>
            <w:noProof w:val="0"/>
          </w:rPr>
          <w:t>announced</w:t>
        </w:r>
      </w:hyperlink>
      <w:r w:rsidR="00621B61">
        <w:t xml:space="preserve"> by the Scottish Government on 26 June.  A new Scottish Child Payment for low-income families with children under six will start in early 2021 and will help to reduce child poverty in Scotland.</w:t>
      </w:r>
    </w:p>
    <w:p w:rsidR="00C735DC" w:rsidRPr="00421882" w:rsidRDefault="00C735DC" w:rsidP="00E04B83">
      <w:pPr>
        <w:spacing w:beforeLines="20" w:before="48" w:after="0" w:line="276" w:lineRule="auto"/>
      </w:pPr>
    </w:p>
    <w:p w:rsidR="00C735DC" w:rsidRPr="00421882" w:rsidRDefault="00621B61" w:rsidP="00E04B83">
      <w:pPr>
        <w:spacing w:beforeLines="20" w:before="48" w:after="0" w:line="276" w:lineRule="auto"/>
      </w:pPr>
      <w:r>
        <w:t xml:space="preserve">As part of our work to help </w:t>
      </w:r>
      <w:r w:rsidRPr="00621B61">
        <w:t>inform economic policy</w:t>
      </w:r>
      <w:r>
        <w:t>, we d</w:t>
      </w:r>
      <w:r w:rsidR="00C735DC" w:rsidRPr="00421882">
        <w:t>isseminated</w:t>
      </w:r>
      <w:r>
        <w:t xml:space="preserve"> the results of</w:t>
      </w:r>
      <w:r w:rsidR="00C735DC" w:rsidRPr="00421882">
        <w:t xml:space="preserve"> our work modelling the health and health inequalities impacts of changes to employment at </w:t>
      </w:r>
      <w:r>
        <w:t xml:space="preserve">a </w:t>
      </w:r>
      <w:r w:rsidR="00C735DC" w:rsidRPr="00421882">
        <w:t>local level to the city deals partnerships across Scotland. We are now in discussions with two partnerships about what further support they would find helpful to maximise the</w:t>
      </w:r>
      <w:r>
        <w:t xml:space="preserve"> impacts on health inequalities.</w:t>
      </w:r>
    </w:p>
    <w:p w:rsidR="00C735DC" w:rsidRPr="00421882" w:rsidRDefault="00C735DC" w:rsidP="00E04B83">
      <w:pPr>
        <w:spacing w:beforeLines="20" w:before="48" w:after="0" w:line="276" w:lineRule="auto"/>
      </w:pPr>
    </w:p>
    <w:p w:rsidR="00C735DC" w:rsidRDefault="00C735DC" w:rsidP="00E04B83">
      <w:pPr>
        <w:spacing w:beforeLines="20" w:before="48" w:after="0" w:line="276" w:lineRule="auto"/>
      </w:pPr>
      <w:r w:rsidRPr="00421882">
        <w:t>We are working closely with two health boards to pilot benchmarking and action planning a</w:t>
      </w:r>
      <w:r w:rsidR="00621B61">
        <w:t xml:space="preserve">gainst the Fair Work Framework </w:t>
      </w:r>
      <w:r w:rsidRPr="00421882">
        <w:t>in order to promote fair work practices which contribute to health overall and  mental health in t</w:t>
      </w:r>
      <w:r w:rsidR="00621B61">
        <w:t>he workplace specifically</w:t>
      </w:r>
      <w:r w:rsidRPr="00421882">
        <w:t>.</w:t>
      </w:r>
    </w:p>
    <w:p w:rsidR="00F21B53" w:rsidRDefault="00F21B53" w:rsidP="00E04B83">
      <w:pPr>
        <w:spacing w:beforeLines="20" w:before="48" w:after="0" w:line="276" w:lineRule="auto"/>
      </w:pPr>
    </w:p>
    <w:p w:rsidR="00F21B53" w:rsidRDefault="00F21B53" w:rsidP="00F21B53">
      <w:pPr>
        <w:spacing w:beforeLines="20" w:before="48" w:after="0" w:line="276" w:lineRule="auto"/>
      </w:pPr>
      <w:r>
        <w:t xml:space="preserve">We have worked with the Glasgow Centre for Population Health (GCPH) to produce a monitoring and evaluation report on the reach and impact of our jointly produced </w:t>
      </w:r>
      <w:hyperlink r:id="rId29" w:history="1">
        <w:r w:rsidRPr="00F21B53">
          <w:rPr>
            <w:rStyle w:val="Hyperlink"/>
            <w:noProof w:val="0"/>
          </w:rPr>
          <w:t>animation</w:t>
        </w:r>
      </w:hyperlink>
      <w:r>
        <w:t xml:space="preserve"> </w:t>
      </w:r>
      <w:r w:rsidRPr="00F21B53">
        <w:t>‘Power: a health and social justice issue’</w:t>
      </w:r>
      <w:r>
        <w:t>, which</w:t>
      </w:r>
      <w:r w:rsidRPr="00F21B53">
        <w:t xml:space="preserve"> was launched in August 2017</w:t>
      </w:r>
      <w:r>
        <w:t xml:space="preserve">.  The report draws on web analytics and the results of a survey conducted with people who had watched the animation.  The results are positive, with the survey finding that four out of five responders being </w:t>
      </w:r>
      <w:r w:rsidRPr="00F21B53">
        <w:t xml:space="preserve">motivated to take some form of action </w:t>
      </w:r>
      <w:r>
        <w:t xml:space="preserve">as a result of viewing the </w:t>
      </w:r>
      <w:r w:rsidRPr="00F21B53">
        <w:t>animation</w:t>
      </w:r>
      <w:r>
        <w:t xml:space="preserve">.  The report concludes that the animation appears to have been effective in raising the profile of the two organisations as knowledge brokers in the area of power and health inequalities. </w:t>
      </w:r>
    </w:p>
    <w:p w:rsidR="007F0FD3" w:rsidRPr="00F21B53" w:rsidRDefault="007F0FD3" w:rsidP="00E04B83">
      <w:pPr>
        <w:spacing w:beforeLines="20" w:before="48" w:after="0" w:line="276" w:lineRule="auto"/>
      </w:pPr>
    </w:p>
    <w:p w:rsidR="00121207" w:rsidRPr="00121207" w:rsidRDefault="00121207" w:rsidP="00121207">
      <w:pPr>
        <w:pStyle w:val="Chead"/>
        <w:spacing w:beforeLines="20" w:before="48" w:after="0" w:line="276" w:lineRule="auto"/>
        <w:rPr>
          <w:sz w:val="24"/>
        </w:rPr>
      </w:pPr>
      <w:r w:rsidRPr="00121207">
        <w:rPr>
          <w:sz w:val="24"/>
        </w:rPr>
        <w:t>Performance Information</w:t>
      </w:r>
    </w:p>
    <w:p w:rsidR="00121207" w:rsidRPr="00121207" w:rsidRDefault="00121207" w:rsidP="00121207">
      <w:pPr>
        <w:spacing w:beforeLines="20" w:before="48" w:after="0" w:line="276" w:lineRule="auto"/>
        <w:rPr>
          <w:szCs w:val="28"/>
        </w:rPr>
      </w:pPr>
      <w:r>
        <w:rPr>
          <w:szCs w:val="28"/>
        </w:rPr>
        <w:t>No performance indicators were due for completion in Quarter 1.</w:t>
      </w:r>
    </w:p>
    <w:p w:rsidR="007F0FD3" w:rsidRDefault="007F0FD3" w:rsidP="00E04B83">
      <w:pPr>
        <w:spacing w:beforeLines="20" w:before="48" w:after="0" w:line="276" w:lineRule="auto"/>
        <w:rPr>
          <w:b/>
        </w:rPr>
      </w:pPr>
    </w:p>
    <w:p w:rsidR="00621B61" w:rsidRDefault="00621B61">
      <w:pPr>
        <w:spacing w:before="0" w:after="160" w:line="259" w:lineRule="auto"/>
        <w:rPr>
          <w:b/>
        </w:rPr>
      </w:pPr>
      <w:r>
        <w:rPr>
          <w:b/>
        </w:rPr>
        <w:br w:type="page"/>
      </w:r>
    </w:p>
    <w:p w:rsidR="00776A5C" w:rsidRDefault="005274CB" w:rsidP="00E04B83">
      <w:pPr>
        <w:spacing w:beforeLines="20" w:before="48" w:after="0" w:line="276" w:lineRule="auto"/>
      </w:pPr>
      <w:r w:rsidRPr="003A5504">
        <w:rPr>
          <w:b/>
        </w:rPr>
        <w:lastRenderedPageBreak/>
        <w:t>Issues affecting delivery</w:t>
      </w:r>
      <w:r w:rsidR="00776A5C">
        <w:rPr>
          <w:b/>
        </w:rPr>
        <w:t xml:space="preserve"> in Q1</w:t>
      </w:r>
    </w:p>
    <w:p w:rsidR="00EE6676" w:rsidRDefault="00EE6676" w:rsidP="00E04B83">
      <w:pPr>
        <w:spacing w:beforeLines="20" w:before="48" w:after="0" w:line="276" w:lineRule="auto"/>
      </w:pPr>
      <w:r>
        <w:rPr>
          <w:noProof/>
        </w:rPr>
        <w:drawing>
          <wp:inline distT="0" distB="0" distL="0" distR="0" wp14:anchorId="59D84026" wp14:editId="1BDC1F1A">
            <wp:extent cx="5151120" cy="2743200"/>
            <wp:effectExtent l="0" t="0" r="1143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21B61" w:rsidRDefault="00621B61" w:rsidP="00E04B83">
      <w:pPr>
        <w:spacing w:beforeLines="20" w:before="48" w:after="0" w:line="276" w:lineRule="auto"/>
        <w:rPr>
          <w:iCs/>
        </w:rPr>
      </w:pPr>
    </w:p>
    <w:p w:rsidR="00B75779" w:rsidRPr="00E04B83" w:rsidRDefault="00C735DC" w:rsidP="00E04B83">
      <w:pPr>
        <w:spacing w:beforeLines="20" w:before="48" w:after="0" w:line="276" w:lineRule="auto"/>
        <w:rPr>
          <w:iCs/>
        </w:rPr>
      </w:pPr>
      <w:r w:rsidRPr="00421882">
        <w:rPr>
          <w:iCs/>
        </w:rPr>
        <w:t>Ther</w:t>
      </w:r>
      <w:r>
        <w:rPr>
          <w:iCs/>
        </w:rPr>
        <w:t>e are</w:t>
      </w:r>
      <w:r w:rsidRPr="00421882">
        <w:rPr>
          <w:iCs/>
        </w:rPr>
        <w:t xml:space="preserve"> some outputs running behind schedule because of competing priorities. Many of the staff working in this area are also responsible for leading the work on drug-related deaths and life expectancy trends. There has been a large volume of in-year work generated by the recent adverse trends in these which has taken priority over some of the work in this area.</w:t>
      </w:r>
    </w:p>
    <w:p w:rsidR="00B75779" w:rsidRPr="00E04B83" w:rsidRDefault="00B75779" w:rsidP="00E04B83">
      <w:pPr>
        <w:spacing w:beforeLines="20" w:before="48" w:after="0" w:line="276" w:lineRule="auto"/>
        <w:rPr>
          <w:b/>
          <w:iCs/>
        </w:rPr>
      </w:pPr>
    </w:p>
    <w:p w:rsidR="00E9777D" w:rsidRDefault="002971D8" w:rsidP="00E04B83">
      <w:pPr>
        <w:spacing w:beforeLines="20" w:before="48" w:after="0" w:line="276" w:lineRule="auto"/>
      </w:pPr>
      <w:r w:rsidRPr="003A5504">
        <w:rPr>
          <w:b/>
        </w:rPr>
        <w:t>Financial data</w:t>
      </w:r>
    </w:p>
    <w:p w:rsidR="00DE4249" w:rsidRPr="0014045E" w:rsidRDefault="00DE4249" w:rsidP="00E04B83">
      <w:pPr>
        <w:spacing w:beforeLines="20" w:before="48" w:after="0" w:line="276" w:lineRule="auto"/>
      </w:pPr>
      <w:r>
        <w:rPr>
          <w:noProof/>
        </w:rPr>
        <w:drawing>
          <wp:inline distT="0" distB="0" distL="0" distR="0" wp14:anchorId="44B38FDE" wp14:editId="70124A3E">
            <wp:extent cx="5204460" cy="2743200"/>
            <wp:effectExtent l="0" t="0" r="152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F0FD3" w:rsidRDefault="007F0FD3" w:rsidP="00E04B83">
      <w:pPr>
        <w:spacing w:beforeLines="20" w:before="48" w:after="0" w:line="276" w:lineRule="auto"/>
        <w:rPr>
          <w:b/>
        </w:rPr>
      </w:pPr>
    </w:p>
    <w:p w:rsidR="007F0FD3" w:rsidRDefault="007F0FD3" w:rsidP="00E04B83">
      <w:pPr>
        <w:spacing w:beforeLines="20" w:before="48" w:after="0" w:line="276" w:lineRule="auto"/>
        <w:rPr>
          <w:b/>
        </w:rPr>
      </w:pPr>
    </w:p>
    <w:p w:rsidR="007F0FD3" w:rsidRDefault="007F0FD3" w:rsidP="00E04B83">
      <w:pPr>
        <w:spacing w:beforeLines="20" w:before="48" w:after="0" w:line="276" w:lineRule="auto"/>
        <w:rPr>
          <w:b/>
        </w:rPr>
      </w:pPr>
    </w:p>
    <w:p w:rsidR="007F0FD3" w:rsidRDefault="007F0FD3" w:rsidP="00E04B83">
      <w:pPr>
        <w:spacing w:beforeLines="20" w:before="48" w:after="0" w:line="276" w:lineRule="auto"/>
        <w:rPr>
          <w:b/>
        </w:rPr>
      </w:pPr>
    </w:p>
    <w:p w:rsidR="00621B61" w:rsidRDefault="00621B61">
      <w:pPr>
        <w:spacing w:before="0" w:after="160" w:line="259" w:lineRule="auto"/>
        <w:rPr>
          <w:b/>
        </w:rPr>
      </w:pPr>
      <w:r>
        <w:rPr>
          <w:b/>
        </w:rPr>
        <w:br w:type="page"/>
      </w:r>
    </w:p>
    <w:p w:rsidR="00776A5C" w:rsidRPr="00574425" w:rsidRDefault="002971D8" w:rsidP="00E04B83">
      <w:pPr>
        <w:spacing w:beforeLines="20" w:before="48" w:after="0" w:line="276" w:lineRule="auto"/>
        <w:rPr>
          <w:b/>
        </w:rPr>
      </w:pPr>
      <w:r>
        <w:rPr>
          <w:b/>
        </w:rPr>
        <w:lastRenderedPageBreak/>
        <w:t>Staff time data</w:t>
      </w:r>
    </w:p>
    <w:p w:rsidR="00533A72" w:rsidRDefault="00574425" w:rsidP="00E04B83">
      <w:pPr>
        <w:spacing w:beforeLines="20" w:before="48" w:after="0" w:line="276" w:lineRule="auto"/>
      </w:pPr>
      <w:r>
        <w:rPr>
          <w:noProof/>
        </w:rPr>
        <w:drawing>
          <wp:inline distT="0" distB="0" distL="0" distR="0" wp14:anchorId="7F5E3CAE" wp14:editId="3C8698F0">
            <wp:extent cx="5274310" cy="2610485"/>
            <wp:effectExtent l="0" t="0" r="2540" b="184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4425" w:rsidRDefault="00574425" w:rsidP="00E04B83">
      <w:pPr>
        <w:spacing w:beforeLines="20" w:before="48" w:after="0" w:line="276" w:lineRule="auto"/>
      </w:pPr>
      <w:r>
        <w:rPr>
          <w:noProof/>
        </w:rPr>
        <w:drawing>
          <wp:inline distT="0" distB="0" distL="0" distR="0" wp14:anchorId="7D015FDA" wp14:editId="75235B7C">
            <wp:extent cx="5379720" cy="2654300"/>
            <wp:effectExtent l="0" t="0" r="1143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21B61" w:rsidRDefault="00621B61" w:rsidP="00E04B83">
      <w:pPr>
        <w:spacing w:beforeLines="20" w:before="48" w:after="0" w:line="276" w:lineRule="auto"/>
        <w:rPr>
          <w:b/>
        </w:rPr>
      </w:pPr>
    </w:p>
    <w:p w:rsidR="00533A72" w:rsidRPr="00E04B83" w:rsidRDefault="00B75779" w:rsidP="00E04B83">
      <w:pPr>
        <w:spacing w:beforeLines="20" w:before="48" w:after="0" w:line="276" w:lineRule="auto"/>
        <w:rPr>
          <w:b/>
        </w:rPr>
      </w:pPr>
      <w:r w:rsidRPr="00E04B83">
        <w:rPr>
          <w:b/>
        </w:rPr>
        <w:t>Coming up in Quarter 2</w:t>
      </w:r>
    </w:p>
    <w:p w:rsidR="00B75779" w:rsidRPr="00A76EEC" w:rsidRDefault="00B75779" w:rsidP="00265D9C">
      <w:pPr>
        <w:pStyle w:val="ListParagraph"/>
        <w:numPr>
          <w:ilvl w:val="0"/>
          <w:numId w:val="14"/>
        </w:numPr>
        <w:spacing w:beforeLines="20" w:before="48" w:after="0" w:line="276" w:lineRule="auto"/>
      </w:pPr>
      <w:r w:rsidRPr="00A76EEC">
        <w:t>We will submit a written response to the Scottish Affairs Committee Welfare policy in Scotland inquiry</w:t>
      </w:r>
      <w:r w:rsidR="00621B61">
        <w:t xml:space="preserve"> in August</w:t>
      </w:r>
      <w:r w:rsidRPr="00A76EEC">
        <w:t>.</w:t>
      </w:r>
    </w:p>
    <w:p w:rsidR="00B75779" w:rsidRPr="00A76EEC" w:rsidRDefault="00B75779" w:rsidP="00265D9C">
      <w:pPr>
        <w:pStyle w:val="ListParagraph"/>
        <w:numPr>
          <w:ilvl w:val="0"/>
          <w:numId w:val="14"/>
        </w:numPr>
        <w:spacing w:beforeLines="20" w:before="48" w:after="0" w:line="276" w:lineRule="auto"/>
      </w:pPr>
      <w:r w:rsidRPr="00A76EEC">
        <w:t xml:space="preserve">We will present oral evidence to the </w:t>
      </w:r>
      <w:r>
        <w:t>All-Party Parliamentary Group (</w:t>
      </w:r>
      <w:r w:rsidRPr="00A76EEC">
        <w:t>APPG</w:t>
      </w:r>
      <w:r>
        <w:t>) on</w:t>
      </w:r>
      <w:r w:rsidRPr="00A76EEC">
        <w:t xml:space="preserve"> Health in All Policies </w:t>
      </w:r>
      <w:r>
        <w:t xml:space="preserve">at Westminster </w:t>
      </w:r>
      <w:r w:rsidRPr="00A76EEC">
        <w:t>on the impact of reserved social security policies on he</w:t>
      </w:r>
      <w:r>
        <w:t>alth, and what might be done</w:t>
      </w:r>
      <w:r w:rsidRPr="00A76EEC">
        <w:t>.</w:t>
      </w:r>
    </w:p>
    <w:p w:rsidR="00E9777D" w:rsidRDefault="00E9777D" w:rsidP="00E04B83">
      <w:pPr>
        <w:spacing w:beforeLines="20" w:before="48" w:after="0" w:line="276" w:lineRule="auto"/>
      </w:pPr>
    </w:p>
    <w:p w:rsidR="00776A5C" w:rsidRDefault="00776A5C" w:rsidP="00E04B83">
      <w:pPr>
        <w:spacing w:beforeLines="20" w:before="48" w:after="0" w:line="276" w:lineRule="auto"/>
      </w:pPr>
    </w:p>
    <w:p w:rsidR="00776A5C" w:rsidRDefault="00776A5C" w:rsidP="00E04B83">
      <w:pPr>
        <w:spacing w:beforeLines="20" w:before="48" w:after="0" w:line="276" w:lineRule="auto"/>
      </w:pPr>
    </w:p>
    <w:p w:rsidR="00776A5C" w:rsidRDefault="00776A5C" w:rsidP="00E04B83">
      <w:pPr>
        <w:spacing w:beforeLines="20" w:before="48" w:after="0" w:line="276" w:lineRule="auto"/>
      </w:pPr>
    </w:p>
    <w:p w:rsidR="00776A5C" w:rsidRDefault="00776A5C" w:rsidP="00E04B83">
      <w:pPr>
        <w:spacing w:beforeLines="20" w:before="48" w:after="0" w:line="276" w:lineRule="auto"/>
      </w:pPr>
    </w:p>
    <w:p w:rsidR="00776A5C" w:rsidRDefault="00776A5C" w:rsidP="00E04B83">
      <w:pPr>
        <w:spacing w:beforeLines="20" w:before="48" w:after="0" w:line="276" w:lineRule="auto"/>
      </w:pPr>
    </w:p>
    <w:p w:rsidR="00776A5C" w:rsidRDefault="00776A5C" w:rsidP="00E04B83">
      <w:pPr>
        <w:spacing w:beforeLines="20" w:before="48" w:after="0" w:line="276" w:lineRule="auto"/>
      </w:pPr>
    </w:p>
    <w:p w:rsidR="001636E1" w:rsidRDefault="001636E1" w:rsidP="00E04B83">
      <w:pPr>
        <w:pStyle w:val="Bhead"/>
        <w:spacing w:beforeLines="20" w:before="48" w:after="0" w:line="276" w:lineRule="auto"/>
      </w:pPr>
      <w:bookmarkStart w:id="6" w:name="_Toc18312838"/>
      <w:r>
        <w:lastRenderedPageBreak/>
        <w:t>Strategic Priority 4: Healthy and Sustainable Places</w:t>
      </w:r>
      <w:bookmarkEnd w:id="6"/>
    </w:p>
    <w:p w:rsidR="00621B61" w:rsidRDefault="00621B61" w:rsidP="00E04B83">
      <w:pPr>
        <w:pStyle w:val="Chead"/>
        <w:spacing w:beforeLines="20" w:before="48" w:after="0" w:line="276" w:lineRule="auto"/>
      </w:pPr>
    </w:p>
    <w:p w:rsidR="00BF3DFD" w:rsidRPr="00621B61" w:rsidRDefault="00BF3DFD" w:rsidP="00E04B83">
      <w:pPr>
        <w:pStyle w:val="Chead"/>
        <w:spacing w:beforeLines="20" w:before="48" w:after="0" w:line="276" w:lineRule="auto"/>
        <w:rPr>
          <w:sz w:val="24"/>
        </w:rPr>
      </w:pPr>
      <w:r w:rsidRPr="00621B61">
        <w:rPr>
          <w:sz w:val="24"/>
        </w:rPr>
        <w:t>Highlights</w:t>
      </w:r>
      <w:r w:rsidR="00776A5C" w:rsidRPr="00621B61">
        <w:rPr>
          <w:sz w:val="24"/>
        </w:rPr>
        <w:t xml:space="preserve"> </w:t>
      </w:r>
      <w:r w:rsidR="00C735DC" w:rsidRPr="00621B61">
        <w:rPr>
          <w:sz w:val="24"/>
        </w:rPr>
        <w:t>from</w:t>
      </w:r>
      <w:r w:rsidR="00776A5C" w:rsidRPr="00621B61">
        <w:rPr>
          <w:sz w:val="24"/>
        </w:rPr>
        <w:t xml:space="preserve"> Quarter 1</w:t>
      </w:r>
      <w:r w:rsidRPr="00621B61">
        <w:rPr>
          <w:sz w:val="24"/>
        </w:rPr>
        <w:t xml:space="preserve"> </w:t>
      </w:r>
    </w:p>
    <w:p w:rsidR="00C735DC" w:rsidRDefault="00C735DC" w:rsidP="00E04B83">
      <w:pPr>
        <w:spacing w:beforeLines="20" w:before="48" w:after="0" w:line="276" w:lineRule="auto"/>
        <w:rPr>
          <w:iCs/>
        </w:rPr>
      </w:pPr>
      <w:r w:rsidRPr="00E04B83">
        <w:rPr>
          <w:iCs/>
        </w:rPr>
        <w:t>We have established the Healthy Homes Working Group on behalf of the Scottish Health Promotion Managers Group.  This group will provide national leadership for a public health approach to housing by working collaboratively to advocate for access to affordable, high quality, secure housing for everyone in our society, particularly our most vulnerable communities.</w:t>
      </w:r>
    </w:p>
    <w:p w:rsidR="007F0FD3" w:rsidRPr="00E04B83" w:rsidRDefault="007F0FD3" w:rsidP="00E04B83">
      <w:pPr>
        <w:spacing w:beforeLines="20" w:before="48" w:after="0" w:line="276" w:lineRule="auto"/>
        <w:rPr>
          <w:iCs/>
        </w:rPr>
      </w:pPr>
    </w:p>
    <w:p w:rsidR="00C735DC" w:rsidRPr="00E04B83" w:rsidRDefault="00C735DC" w:rsidP="00E04B83">
      <w:pPr>
        <w:spacing w:beforeLines="20" w:before="48" w:after="0" w:line="276" w:lineRule="auto"/>
        <w:rPr>
          <w:iCs/>
        </w:rPr>
      </w:pPr>
      <w:r w:rsidRPr="00E04B83">
        <w:rPr>
          <w:iCs/>
        </w:rPr>
        <w:t>In partnersh</w:t>
      </w:r>
      <w:r w:rsidR="003D5EC9">
        <w:rPr>
          <w:iCs/>
        </w:rPr>
        <w:t>ip with the World Health Organiz</w:t>
      </w:r>
      <w:r w:rsidRPr="00E04B83">
        <w:rPr>
          <w:iCs/>
        </w:rPr>
        <w:t xml:space="preserve">ation (WHO) we organised and ran a very successful international conference on place-making.  It was jointly hosted by </w:t>
      </w:r>
      <w:r w:rsidR="003D5EC9">
        <w:rPr>
          <w:iCs/>
        </w:rPr>
        <w:t xml:space="preserve">NHS </w:t>
      </w:r>
      <w:r w:rsidRPr="00E04B83">
        <w:rPr>
          <w:iCs/>
        </w:rPr>
        <w:t xml:space="preserve">Health Scotland’s Chair and </w:t>
      </w:r>
      <w:r w:rsidR="003D5EC9">
        <w:rPr>
          <w:iCs/>
        </w:rPr>
        <w:t xml:space="preserve">the </w:t>
      </w:r>
      <w:r w:rsidRPr="00E04B83">
        <w:rPr>
          <w:iCs/>
        </w:rPr>
        <w:t xml:space="preserve">WHO and included a range of key note presentations from a variety of high-profile international speakers as well as workshops and site visits.  </w:t>
      </w:r>
      <w:r w:rsidR="003D5EC9">
        <w:rPr>
          <w:iCs/>
        </w:rPr>
        <w:t xml:space="preserve">We have received positive feedback from delegates and we the conversation spread far beyond those there on the day through our use of social media.  </w:t>
      </w:r>
      <w:r w:rsidRPr="00BF03DA">
        <w:t>Over 345 participants engaged with and contributed to the conversation on social media, which amounted to 1,045 tweets using the #MakingPlace19 hashtag</w:t>
      </w:r>
      <w:r w:rsidR="003D5EC9">
        <w:t xml:space="preserve"> and </w:t>
      </w:r>
      <w:r w:rsidR="003D5EC9">
        <w:rPr>
          <w:iCs/>
        </w:rPr>
        <w:t xml:space="preserve">over </w:t>
      </w:r>
      <w:r w:rsidR="003D5EC9">
        <w:t>two</w:t>
      </w:r>
      <w:r w:rsidR="003D5EC9" w:rsidRPr="00BF03DA">
        <w:t xml:space="preserve"> million impressions </w:t>
      </w:r>
      <w:r w:rsidR="003D5EC9">
        <w:t xml:space="preserve">in total.  </w:t>
      </w:r>
      <w:r w:rsidRPr="00BF03DA">
        <w:t xml:space="preserve">Social media activity on the day also increased traffic to the newly launched </w:t>
      </w:r>
      <w:hyperlink r:id="rId34" w:history="1">
        <w:r w:rsidRPr="003D5EC9">
          <w:rPr>
            <w:rStyle w:val="Hyperlink"/>
          </w:rPr>
          <w:t>Place Standard Learning Resource</w:t>
        </w:r>
      </w:hyperlink>
      <w:r w:rsidRPr="003D5EC9">
        <w:rPr>
          <w:rStyle w:val="Hyperlink"/>
          <w:color w:val="auto"/>
        </w:rPr>
        <w:t xml:space="preserve">, hosted on </w:t>
      </w:r>
      <w:r w:rsidR="003D5EC9">
        <w:rPr>
          <w:rStyle w:val="Hyperlink"/>
          <w:color w:val="auto"/>
        </w:rPr>
        <w:t>our Virtual Learning Environment</w:t>
      </w:r>
      <w:r w:rsidRPr="003D5EC9">
        <w:t xml:space="preserve">. </w:t>
      </w:r>
    </w:p>
    <w:p w:rsidR="003D5EC9" w:rsidRDefault="003D5EC9" w:rsidP="00E04B83">
      <w:pPr>
        <w:spacing w:beforeLines="20" w:before="48" w:after="0" w:line="276" w:lineRule="auto"/>
        <w:rPr>
          <w:iCs/>
        </w:rPr>
      </w:pPr>
    </w:p>
    <w:p w:rsidR="00C735DC" w:rsidRPr="00E04B83" w:rsidRDefault="00C735DC" w:rsidP="00E04B83">
      <w:pPr>
        <w:spacing w:beforeLines="20" w:before="48" w:after="0" w:line="276" w:lineRule="auto"/>
      </w:pPr>
      <w:r w:rsidRPr="00BF03DA">
        <w:rPr>
          <w:iCs/>
        </w:rPr>
        <w:t xml:space="preserve">We have been invited to join the Scottish Advisory Group for a new UK-wide work programme to be carried out by the UK Collaborative Centre for Housing </w:t>
      </w:r>
      <w:r w:rsidR="003D5EC9">
        <w:rPr>
          <w:iCs/>
        </w:rPr>
        <w:t>Evidence,</w:t>
      </w:r>
      <w:r w:rsidRPr="00BF03DA">
        <w:rPr>
          <w:iCs/>
        </w:rPr>
        <w:t xml:space="preserve"> which will aim to tackle issues in the Private Rented Sector.  </w:t>
      </w:r>
      <w:r>
        <w:rPr>
          <w:iCs/>
        </w:rPr>
        <w:t>This will ensure</w:t>
      </w:r>
      <w:r w:rsidRPr="00BF03DA">
        <w:rPr>
          <w:iCs/>
        </w:rPr>
        <w:t xml:space="preserve"> </w:t>
      </w:r>
      <w:r>
        <w:rPr>
          <w:iCs/>
        </w:rPr>
        <w:t>public health outcomes are a key consideration of the research</w:t>
      </w:r>
      <w:r w:rsidRPr="00BF03DA">
        <w:rPr>
          <w:iCs/>
        </w:rPr>
        <w:t xml:space="preserve"> programme</w:t>
      </w:r>
      <w:r w:rsidR="003D5EC9">
        <w:rPr>
          <w:iCs/>
        </w:rPr>
        <w:t>.</w:t>
      </w:r>
    </w:p>
    <w:p w:rsidR="00357A03" w:rsidRDefault="00357A03" w:rsidP="00E04B83">
      <w:pPr>
        <w:pStyle w:val="Chead"/>
        <w:spacing w:beforeLines="20" w:before="48" w:after="0" w:line="276" w:lineRule="auto"/>
        <w:sectPr w:rsidR="00357A03" w:rsidSect="00B21046">
          <w:pgSz w:w="11906" w:h="16838"/>
          <w:pgMar w:top="1440" w:right="1800" w:bottom="1440" w:left="1800" w:header="708" w:footer="708" w:gutter="0"/>
          <w:cols w:space="708"/>
          <w:docGrid w:linePitch="360"/>
        </w:sectPr>
      </w:pPr>
    </w:p>
    <w:p w:rsidR="001636E1" w:rsidRPr="003D5EC9" w:rsidRDefault="001636E1" w:rsidP="00E04B83">
      <w:pPr>
        <w:pStyle w:val="Chead"/>
        <w:spacing w:beforeLines="20" w:before="48" w:after="0" w:line="276" w:lineRule="auto"/>
        <w:rPr>
          <w:sz w:val="24"/>
        </w:rPr>
      </w:pPr>
      <w:r w:rsidRPr="003D5EC9">
        <w:rPr>
          <w:sz w:val="24"/>
        </w:rPr>
        <w:lastRenderedPageBreak/>
        <w:t>Performance Information</w:t>
      </w:r>
      <w:r w:rsidR="00F40641" w:rsidRPr="003D5EC9">
        <w:rPr>
          <w:sz w:val="24"/>
        </w:rPr>
        <w:t>: Quarter 1</w:t>
      </w:r>
    </w:p>
    <w:p w:rsidR="00306306" w:rsidRDefault="00306306" w:rsidP="00E04B83">
      <w:pPr>
        <w:spacing w:beforeLines="20" w:before="48" w:after="0" w:line="276" w:lineRule="auto"/>
      </w:pPr>
      <w:r>
        <w:t xml:space="preserve">The following table details the Performance Indicators that were due for completion this quarter and provides a narrative for each. </w:t>
      </w:r>
    </w:p>
    <w:p w:rsidR="00306306" w:rsidRDefault="00306306" w:rsidP="00E04B83">
      <w:pPr>
        <w:spacing w:beforeLines="20" w:before="48" w:after="0" w:line="276" w:lineRule="auto"/>
      </w:pPr>
    </w:p>
    <w:tbl>
      <w:tblPr>
        <w:tblStyle w:val="TableGrid"/>
        <w:tblW w:w="14029" w:type="dxa"/>
        <w:tblLayout w:type="fixed"/>
        <w:tblLook w:val="04A0" w:firstRow="1" w:lastRow="0" w:firstColumn="1" w:lastColumn="0" w:noHBand="0" w:noVBand="1"/>
      </w:tblPr>
      <w:tblGrid>
        <w:gridCol w:w="5098"/>
        <w:gridCol w:w="3402"/>
        <w:gridCol w:w="993"/>
        <w:gridCol w:w="4536"/>
      </w:tblGrid>
      <w:tr w:rsidR="00306306" w:rsidRPr="004E4D1B" w:rsidTr="003D5EC9">
        <w:tc>
          <w:tcPr>
            <w:tcW w:w="5098" w:type="dxa"/>
          </w:tcPr>
          <w:p w:rsidR="00306306" w:rsidRPr="004E4D1B" w:rsidRDefault="00306306" w:rsidP="00E04B83">
            <w:pPr>
              <w:spacing w:beforeLines="20" w:before="48" w:after="0" w:line="276" w:lineRule="auto"/>
              <w:rPr>
                <w:b/>
                <w:color w:val="000000"/>
              </w:rPr>
            </w:pPr>
            <w:r w:rsidRPr="004E4D1B">
              <w:rPr>
                <w:b/>
                <w:color w:val="000000"/>
              </w:rPr>
              <w:t>Delivery Commitment</w:t>
            </w:r>
          </w:p>
        </w:tc>
        <w:tc>
          <w:tcPr>
            <w:tcW w:w="3402" w:type="dxa"/>
          </w:tcPr>
          <w:p w:rsidR="00306306" w:rsidRPr="004E4D1B" w:rsidRDefault="00306306" w:rsidP="00E04B83">
            <w:pPr>
              <w:spacing w:beforeLines="20" w:before="48" w:after="0" w:line="276" w:lineRule="auto"/>
              <w:rPr>
                <w:b/>
                <w:bCs/>
              </w:rPr>
            </w:pPr>
            <w:r w:rsidRPr="004E4D1B">
              <w:rPr>
                <w:b/>
                <w:bCs/>
              </w:rPr>
              <w:t>Performance Indicator</w:t>
            </w:r>
          </w:p>
        </w:tc>
        <w:tc>
          <w:tcPr>
            <w:tcW w:w="993" w:type="dxa"/>
          </w:tcPr>
          <w:p w:rsidR="00306306" w:rsidRPr="004E4D1B" w:rsidRDefault="00306306" w:rsidP="00E04B83">
            <w:pPr>
              <w:spacing w:beforeLines="20" w:before="48" w:after="0" w:line="276" w:lineRule="auto"/>
              <w:rPr>
                <w:b/>
                <w:color w:val="FF0000"/>
              </w:rPr>
            </w:pPr>
            <w:r>
              <w:rPr>
                <w:b/>
              </w:rPr>
              <w:t>Y/N</w:t>
            </w:r>
          </w:p>
        </w:tc>
        <w:tc>
          <w:tcPr>
            <w:tcW w:w="4536" w:type="dxa"/>
          </w:tcPr>
          <w:p w:rsidR="00306306" w:rsidRPr="004E4D1B" w:rsidRDefault="00306306" w:rsidP="00E04B83">
            <w:pPr>
              <w:spacing w:beforeLines="20" w:before="48" w:after="0" w:line="276" w:lineRule="auto"/>
              <w:rPr>
                <w:b/>
                <w:color w:val="000000"/>
              </w:rPr>
            </w:pPr>
            <w:r w:rsidRPr="004E4D1B">
              <w:rPr>
                <w:b/>
                <w:color w:val="000000"/>
              </w:rPr>
              <w:t>Comment</w:t>
            </w:r>
          </w:p>
        </w:tc>
      </w:tr>
      <w:tr w:rsidR="009C6545" w:rsidRPr="00402BC6" w:rsidTr="003D5EC9">
        <w:tc>
          <w:tcPr>
            <w:tcW w:w="5098" w:type="dxa"/>
          </w:tcPr>
          <w:p w:rsidR="009C6545" w:rsidRPr="00402BC6" w:rsidRDefault="00F40641" w:rsidP="00E04B83">
            <w:pPr>
              <w:spacing w:beforeLines="20" w:before="48" w:after="0" w:line="276" w:lineRule="auto"/>
              <w:rPr>
                <w:b/>
              </w:rPr>
            </w:pPr>
            <w:r w:rsidRPr="00C56B20">
              <w:t>4.4.1: Provide joint national leadership with Shelter Scotland to develop and deliver training to inform joint planning and delivery of health, housing and homelessness.</w:t>
            </w:r>
          </w:p>
        </w:tc>
        <w:tc>
          <w:tcPr>
            <w:tcW w:w="3402" w:type="dxa"/>
          </w:tcPr>
          <w:p w:rsidR="009C6545" w:rsidRPr="00402BC6" w:rsidRDefault="00F40641" w:rsidP="00E04B83">
            <w:pPr>
              <w:spacing w:beforeLines="20" w:before="48" w:after="0" w:line="276" w:lineRule="auto"/>
              <w:rPr>
                <w:b/>
              </w:rPr>
            </w:pPr>
            <w:r w:rsidRPr="00C56B20">
              <w:t>We have implemented a learning resource in relation to housing, homelessness and health for frontline NHS Primary Care staff</w:t>
            </w:r>
            <w:r w:rsidR="003D5EC9">
              <w:t>.</w:t>
            </w:r>
          </w:p>
        </w:tc>
        <w:tc>
          <w:tcPr>
            <w:tcW w:w="993" w:type="dxa"/>
          </w:tcPr>
          <w:p w:rsidR="009C6545" w:rsidRPr="00402BC6" w:rsidRDefault="003D5EC9" w:rsidP="00E04B83">
            <w:pPr>
              <w:spacing w:beforeLines="20" w:before="48" w:after="0" w:line="276" w:lineRule="auto"/>
              <w:rPr>
                <w:b/>
              </w:rPr>
            </w:pPr>
            <w:r>
              <w:rPr>
                <w:b/>
              </w:rPr>
              <w:t>Partly</w:t>
            </w:r>
          </w:p>
        </w:tc>
        <w:tc>
          <w:tcPr>
            <w:tcW w:w="4536" w:type="dxa"/>
          </w:tcPr>
          <w:p w:rsidR="009C6545" w:rsidRPr="003D5EC9" w:rsidRDefault="00F40641" w:rsidP="00E04B83">
            <w:pPr>
              <w:spacing w:beforeLines="20" w:before="48" w:after="0" w:line="276" w:lineRule="auto"/>
              <w:rPr>
                <w:color w:val="000000"/>
                <w:lang w:val="en-US"/>
              </w:rPr>
            </w:pPr>
            <w:r w:rsidRPr="006928F6">
              <w:rPr>
                <w:color w:val="000000"/>
                <w:lang w:val="en-US"/>
              </w:rPr>
              <w:t xml:space="preserve">The resource is going through </w:t>
            </w:r>
            <w:r w:rsidR="003D5EC9">
              <w:rPr>
                <w:color w:val="000000"/>
                <w:lang w:val="en-US"/>
              </w:rPr>
              <w:t xml:space="preserve">the </w:t>
            </w:r>
            <w:r w:rsidRPr="006928F6">
              <w:rPr>
                <w:color w:val="000000"/>
                <w:lang w:val="en-US"/>
              </w:rPr>
              <w:t xml:space="preserve">final stages of </w:t>
            </w:r>
            <w:r w:rsidR="003D5EC9">
              <w:rPr>
                <w:color w:val="000000"/>
                <w:lang w:val="en-US"/>
              </w:rPr>
              <w:t>quality assurance</w:t>
            </w:r>
            <w:r w:rsidRPr="006928F6">
              <w:rPr>
                <w:color w:val="000000"/>
                <w:lang w:val="en-US"/>
              </w:rPr>
              <w:t xml:space="preserve"> pri</w:t>
            </w:r>
            <w:r w:rsidR="003D5EC9">
              <w:rPr>
                <w:color w:val="000000"/>
                <w:lang w:val="en-US"/>
              </w:rPr>
              <w:t xml:space="preserve">or to piloting and then launch </w:t>
            </w:r>
            <w:r w:rsidRPr="006928F6">
              <w:rPr>
                <w:color w:val="000000"/>
                <w:lang w:val="en-US"/>
              </w:rPr>
              <w:t>in Q2.</w:t>
            </w:r>
          </w:p>
        </w:tc>
      </w:tr>
      <w:tr w:rsidR="00306306" w:rsidRPr="00402BC6" w:rsidTr="003D5EC9">
        <w:tc>
          <w:tcPr>
            <w:tcW w:w="5098" w:type="dxa"/>
          </w:tcPr>
          <w:p w:rsidR="00306306" w:rsidRPr="00402BC6" w:rsidRDefault="00F40641" w:rsidP="00E04B83">
            <w:pPr>
              <w:spacing w:beforeLines="20" w:before="48" w:after="0" w:line="276" w:lineRule="auto"/>
              <w:rPr>
                <w:color w:val="000000"/>
              </w:rPr>
            </w:pPr>
            <w:r w:rsidRPr="00C56B20">
              <w:t>4.9.1: Work with Adaptation Scotland, the Scottish Managed Sustainable Health Network (SMaSH) and other national partners to maximise the opportunities for climate change policy and practice to promote health improvement and reduce health inequalities.</w:t>
            </w:r>
          </w:p>
        </w:tc>
        <w:tc>
          <w:tcPr>
            <w:tcW w:w="3402" w:type="dxa"/>
          </w:tcPr>
          <w:p w:rsidR="00306306" w:rsidRPr="00402BC6" w:rsidRDefault="00F40641" w:rsidP="00E04B83">
            <w:pPr>
              <w:spacing w:beforeLines="20" w:before="48" w:after="0" w:line="276" w:lineRule="auto"/>
              <w:rPr>
                <w:bCs/>
              </w:rPr>
            </w:pPr>
            <w:r w:rsidRPr="00C56B20">
              <w:t>We have contributed to Scotland's second Statutory Climate Change Adaptation Programme (SCCAP2) and this has been taken into account by the Scottish Government Climate Change Adaptation Team</w:t>
            </w:r>
            <w:r w:rsidR="003D5EC9">
              <w:t>.</w:t>
            </w:r>
          </w:p>
        </w:tc>
        <w:tc>
          <w:tcPr>
            <w:tcW w:w="993" w:type="dxa"/>
          </w:tcPr>
          <w:p w:rsidR="00306306" w:rsidRPr="00402BC6" w:rsidRDefault="003D5EC9" w:rsidP="00E04B83">
            <w:pPr>
              <w:spacing w:beforeLines="20" w:before="48" w:after="0" w:line="276" w:lineRule="auto"/>
              <w:rPr>
                <w:b/>
                <w:color w:val="FF0000"/>
              </w:rPr>
            </w:pPr>
            <w:r>
              <w:rPr>
                <w:b/>
              </w:rPr>
              <w:t>Partly</w:t>
            </w:r>
          </w:p>
        </w:tc>
        <w:tc>
          <w:tcPr>
            <w:tcW w:w="4536" w:type="dxa"/>
          </w:tcPr>
          <w:p w:rsidR="00F40641" w:rsidRDefault="00F40641" w:rsidP="00E04B83">
            <w:pPr>
              <w:spacing w:beforeLines="20" w:before="48" w:after="0" w:line="276" w:lineRule="auto"/>
              <w:rPr>
                <w:color w:val="000000"/>
              </w:rPr>
            </w:pPr>
            <w:r>
              <w:rPr>
                <w:color w:val="000000"/>
              </w:rPr>
              <w:t xml:space="preserve">The policy is currently being drafted and it is anticipated that it will be published next quarter.   </w:t>
            </w:r>
          </w:p>
          <w:p w:rsidR="00306306" w:rsidRPr="00402BC6" w:rsidRDefault="00306306" w:rsidP="00E04B83">
            <w:pPr>
              <w:spacing w:beforeLines="20" w:before="48" w:after="0" w:line="276" w:lineRule="auto"/>
              <w:rPr>
                <w:color w:val="000000"/>
              </w:rPr>
            </w:pPr>
          </w:p>
        </w:tc>
      </w:tr>
    </w:tbl>
    <w:p w:rsidR="00D801F0" w:rsidRDefault="00D801F0" w:rsidP="00E04B83">
      <w:pPr>
        <w:spacing w:beforeLines="20" w:before="48" w:after="0" w:line="276" w:lineRule="auto"/>
        <w:rPr>
          <w:b/>
        </w:rPr>
        <w:sectPr w:rsidR="00D801F0" w:rsidSect="00D801F0">
          <w:pgSz w:w="16838" w:h="11906" w:orient="landscape"/>
          <w:pgMar w:top="1800" w:right="1440" w:bottom="1800" w:left="1440" w:header="708" w:footer="708" w:gutter="0"/>
          <w:cols w:space="708"/>
          <w:docGrid w:linePitch="360"/>
        </w:sectPr>
      </w:pPr>
    </w:p>
    <w:p w:rsidR="00357A03" w:rsidRDefault="00357A03" w:rsidP="00E04B83">
      <w:pPr>
        <w:spacing w:beforeLines="20" w:before="48" w:after="0" w:line="276" w:lineRule="auto"/>
        <w:rPr>
          <w:b/>
        </w:rPr>
      </w:pPr>
      <w:r w:rsidRPr="003A5504">
        <w:rPr>
          <w:b/>
        </w:rPr>
        <w:lastRenderedPageBreak/>
        <w:t>Issues affecting delivery</w:t>
      </w:r>
      <w:r w:rsidR="00776A5C">
        <w:rPr>
          <w:b/>
        </w:rPr>
        <w:t xml:space="preserve"> in Q1</w:t>
      </w:r>
    </w:p>
    <w:p w:rsidR="00BF3DFD" w:rsidRPr="00776A5C" w:rsidRDefault="00EE6676" w:rsidP="00E04B83">
      <w:pPr>
        <w:spacing w:beforeLines="20" w:before="48" w:after="0" w:line="276" w:lineRule="auto"/>
      </w:pPr>
      <w:r>
        <w:rPr>
          <w:noProof/>
        </w:rPr>
        <w:drawing>
          <wp:inline distT="0" distB="0" distL="0" distR="0" wp14:anchorId="1B3BD089" wp14:editId="2D1A3987">
            <wp:extent cx="5250180" cy="2743200"/>
            <wp:effectExtent l="0" t="0" r="762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D5EC9" w:rsidRDefault="003D5EC9" w:rsidP="00E04B83">
      <w:pPr>
        <w:spacing w:beforeLines="20" w:before="48" w:after="0" w:line="276" w:lineRule="auto"/>
        <w:rPr>
          <w:iCs/>
        </w:rPr>
      </w:pPr>
    </w:p>
    <w:p w:rsidR="007F0FD3" w:rsidRDefault="00C735DC" w:rsidP="00E04B83">
      <w:pPr>
        <w:spacing w:beforeLines="20" w:before="48" w:after="0" w:line="276" w:lineRule="auto"/>
        <w:rPr>
          <w:iCs/>
        </w:rPr>
      </w:pPr>
      <w:r>
        <w:rPr>
          <w:iCs/>
        </w:rPr>
        <w:t xml:space="preserve">The vast majority of outputs are proceeding as planned (i.e. no issues or not </w:t>
      </w:r>
      <w:r w:rsidR="00386208">
        <w:rPr>
          <w:iCs/>
        </w:rPr>
        <w:t xml:space="preserve">due to </w:t>
      </w:r>
      <w:r>
        <w:rPr>
          <w:iCs/>
        </w:rPr>
        <w:t>start this quarter).  There are minor issues with a small number but this should not affect overall delivery or achievement of outcomes.</w:t>
      </w:r>
    </w:p>
    <w:p w:rsidR="00E72EA7" w:rsidRPr="00E04B83" w:rsidRDefault="00E72EA7" w:rsidP="00E04B83">
      <w:pPr>
        <w:spacing w:beforeLines="20" w:before="48" w:after="0" w:line="276" w:lineRule="auto"/>
      </w:pPr>
    </w:p>
    <w:p w:rsidR="00E9777D" w:rsidRPr="00DE4249" w:rsidRDefault="002971D8" w:rsidP="00E04B83">
      <w:pPr>
        <w:spacing w:beforeLines="20" w:before="48" w:after="0" w:line="276" w:lineRule="auto"/>
        <w:rPr>
          <w:b/>
        </w:rPr>
      </w:pPr>
      <w:r w:rsidRPr="003A5504">
        <w:rPr>
          <w:b/>
        </w:rPr>
        <w:t>Financial data</w:t>
      </w:r>
    </w:p>
    <w:p w:rsidR="00DE4249" w:rsidRDefault="00DE4249" w:rsidP="00E04B83">
      <w:pPr>
        <w:spacing w:beforeLines="20" w:before="48" w:after="0" w:line="276" w:lineRule="auto"/>
      </w:pPr>
      <w:r>
        <w:rPr>
          <w:noProof/>
        </w:rPr>
        <w:drawing>
          <wp:inline distT="0" distB="0" distL="0" distR="0" wp14:anchorId="1873F360" wp14:editId="5A9B6DBE">
            <wp:extent cx="5234940" cy="274320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F0FD3" w:rsidRDefault="007F0FD3" w:rsidP="00E04B83">
      <w:pPr>
        <w:spacing w:beforeLines="20" w:before="48" w:after="0" w:line="276" w:lineRule="auto"/>
        <w:rPr>
          <w:b/>
        </w:rPr>
      </w:pPr>
    </w:p>
    <w:p w:rsidR="007F0FD3" w:rsidRDefault="007F0FD3" w:rsidP="00E04B83">
      <w:pPr>
        <w:spacing w:beforeLines="20" w:before="48" w:after="0" w:line="276" w:lineRule="auto"/>
        <w:rPr>
          <w:b/>
        </w:rPr>
      </w:pPr>
    </w:p>
    <w:p w:rsidR="007F0FD3" w:rsidRDefault="007F0FD3" w:rsidP="00E04B83">
      <w:pPr>
        <w:spacing w:beforeLines="20" w:before="48" w:after="0" w:line="276" w:lineRule="auto"/>
        <w:rPr>
          <w:b/>
        </w:rPr>
      </w:pPr>
    </w:p>
    <w:p w:rsidR="007F0FD3" w:rsidRDefault="007F0FD3" w:rsidP="00E04B83">
      <w:pPr>
        <w:spacing w:beforeLines="20" w:before="48" w:after="0" w:line="276" w:lineRule="auto"/>
        <w:rPr>
          <w:b/>
        </w:rPr>
      </w:pPr>
    </w:p>
    <w:p w:rsidR="003D5EC9" w:rsidRDefault="003D5EC9">
      <w:pPr>
        <w:spacing w:before="0" w:after="160" w:line="259" w:lineRule="auto"/>
        <w:rPr>
          <w:b/>
        </w:rPr>
      </w:pPr>
      <w:r>
        <w:rPr>
          <w:b/>
        </w:rPr>
        <w:br w:type="page"/>
      </w:r>
    </w:p>
    <w:p w:rsidR="00776A5C" w:rsidRPr="00564528" w:rsidRDefault="002971D8" w:rsidP="00E04B83">
      <w:pPr>
        <w:spacing w:beforeLines="20" w:before="48" w:after="0" w:line="276" w:lineRule="auto"/>
        <w:rPr>
          <w:b/>
        </w:rPr>
      </w:pPr>
      <w:r>
        <w:rPr>
          <w:b/>
        </w:rPr>
        <w:lastRenderedPageBreak/>
        <w:t>Staff time data</w:t>
      </w:r>
    </w:p>
    <w:p w:rsidR="00533A72" w:rsidRDefault="00574425" w:rsidP="00E04B83">
      <w:pPr>
        <w:spacing w:beforeLines="20" w:before="48" w:after="0" w:line="276" w:lineRule="auto"/>
      </w:pPr>
      <w:r>
        <w:rPr>
          <w:noProof/>
        </w:rPr>
        <w:drawing>
          <wp:inline distT="0" distB="0" distL="0" distR="0" wp14:anchorId="42779C22" wp14:editId="39474686">
            <wp:extent cx="5274310" cy="2574290"/>
            <wp:effectExtent l="0" t="0" r="2540" b="165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74425" w:rsidRDefault="00574425" w:rsidP="00E04B83">
      <w:pPr>
        <w:spacing w:beforeLines="20" w:before="48" w:after="0" w:line="276" w:lineRule="auto"/>
      </w:pPr>
      <w:r>
        <w:rPr>
          <w:noProof/>
        </w:rPr>
        <w:drawing>
          <wp:inline distT="0" distB="0" distL="0" distR="0" wp14:anchorId="074D053D" wp14:editId="6DC879B6">
            <wp:extent cx="5379720" cy="2682240"/>
            <wp:effectExtent l="0" t="0" r="11430"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D5EC9" w:rsidRDefault="003D5EC9" w:rsidP="00E04B83">
      <w:pPr>
        <w:spacing w:beforeLines="20" w:before="48" w:after="0" w:line="276" w:lineRule="auto"/>
        <w:rPr>
          <w:b/>
        </w:rPr>
      </w:pPr>
    </w:p>
    <w:p w:rsidR="00442E65" w:rsidRPr="00E04B83" w:rsidRDefault="00E72EA7" w:rsidP="00E04B83">
      <w:pPr>
        <w:spacing w:beforeLines="20" w:before="48" w:after="0" w:line="276" w:lineRule="auto"/>
        <w:rPr>
          <w:b/>
        </w:rPr>
      </w:pPr>
      <w:r w:rsidRPr="00E04B83">
        <w:rPr>
          <w:b/>
        </w:rPr>
        <w:t>Coming up in Quarter 2</w:t>
      </w:r>
    </w:p>
    <w:p w:rsidR="00E72EA7" w:rsidRPr="003D5EC9" w:rsidRDefault="00E72EA7" w:rsidP="00265D9C">
      <w:pPr>
        <w:pStyle w:val="ListParagraph"/>
        <w:numPr>
          <w:ilvl w:val="0"/>
          <w:numId w:val="15"/>
        </w:numPr>
        <w:spacing w:beforeLines="20" w:before="48" w:after="0" w:line="276" w:lineRule="auto"/>
        <w:rPr>
          <w:iCs/>
        </w:rPr>
      </w:pPr>
      <w:r w:rsidRPr="003D5EC9">
        <w:rPr>
          <w:iCs/>
        </w:rPr>
        <w:t>The newly created Healthy Homes Working Group are planning a workshop from which feedback will inform a whole system action plan for maximising the contribution of housing to improving health.</w:t>
      </w:r>
    </w:p>
    <w:p w:rsidR="00E72EA7" w:rsidRPr="003D5EC9" w:rsidRDefault="00E72EA7" w:rsidP="00265D9C">
      <w:pPr>
        <w:pStyle w:val="ListParagraph"/>
        <w:numPr>
          <w:ilvl w:val="0"/>
          <w:numId w:val="15"/>
        </w:numPr>
        <w:spacing w:beforeLines="20" w:before="48" w:after="0" w:line="276" w:lineRule="auto"/>
        <w:rPr>
          <w:iCs/>
        </w:rPr>
      </w:pPr>
      <w:r w:rsidRPr="003D5EC9">
        <w:rPr>
          <w:iCs/>
        </w:rPr>
        <w:t>We will be agreeing new Governance arrangements for the Place Standard Strategic Plan.</w:t>
      </w:r>
    </w:p>
    <w:p w:rsidR="00E72EA7" w:rsidRPr="003D5EC9" w:rsidRDefault="00E72EA7" w:rsidP="00265D9C">
      <w:pPr>
        <w:pStyle w:val="ListParagraph"/>
        <w:numPr>
          <w:ilvl w:val="0"/>
          <w:numId w:val="15"/>
        </w:numPr>
        <w:spacing w:beforeLines="20" w:before="48" w:after="0" w:line="276" w:lineRule="auto"/>
        <w:rPr>
          <w:iCs/>
        </w:rPr>
      </w:pPr>
      <w:r w:rsidRPr="003D5EC9">
        <w:rPr>
          <w:iCs/>
        </w:rPr>
        <w:t>We will be publishing a briefing on climate change adaptation and health co-benefits.</w:t>
      </w:r>
    </w:p>
    <w:p w:rsidR="00E72EA7" w:rsidRPr="003D5EC9" w:rsidRDefault="00E72EA7" w:rsidP="00265D9C">
      <w:pPr>
        <w:pStyle w:val="ListParagraph"/>
        <w:numPr>
          <w:ilvl w:val="0"/>
          <w:numId w:val="15"/>
        </w:numPr>
        <w:spacing w:beforeLines="20" w:before="48" w:after="0" w:line="276" w:lineRule="auto"/>
        <w:rPr>
          <w:iCs/>
        </w:rPr>
      </w:pPr>
      <w:r w:rsidRPr="003D5EC9">
        <w:rPr>
          <w:iCs/>
        </w:rPr>
        <w:t>We will be jointly hosting a session with Scottish Natural Heritage to explore how the two organisations plan and deliver their work more effectively.</w:t>
      </w:r>
    </w:p>
    <w:p w:rsidR="00E72EA7" w:rsidRPr="001636E1" w:rsidRDefault="00E72EA7" w:rsidP="00E04B83">
      <w:pPr>
        <w:spacing w:beforeLines="20" w:before="48" w:after="0" w:line="276" w:lineRule="auto"/>
      </w:pPr>
    </w:p>
    <w:p w:rsidR="005274CB" w:rsidRPr="0014045E" w:rsidRDefault="005274CB" w:rsidP="00E04B83">
      <w:pPr>
        <w:spacing w:beforeLines="20" w:before="48" w:after="0" w:line="276" w:lineRule="auto"/>
        <w:rPr>
          <w:rFonts w:eastAsia="Cambria"/>
          <w:color w:val="000000" w:themeColor="text1"/>
        </w:rPr>
      </w:pPr>
    </w:p>
    <w:p w:rsidR="001636E1" w:rsidRDefault="001636E1" w:rsidP="00E04B83">
      <w:pPr>
        <w:pStyle w:val="Bhead"/>
        <w:spacing w:beforeLines="20" w:before="48" w:after="0" w:line="276" w:lineRule="auto"/>
      </w:pPr>
      <w:bookmarkStart w:id="7" w:name="_Toc18312839"/>
      <w:r>
        <w:lastRenderedPageBreak/>
        <w:t>Strategic Priority 5: Transforming Public Services</w:t>
      </w:r>
      <w:bookmarkEnd w:id="7"/>
    </w:p>
    <w:p w:rsidR="003D5EC9" w:rsidRDefault="003D5EC9" w:rsidP="00E04B83">
      <w:pPr>
        <w:pStyle w:val="Chead"/>
        <w:spacing w:beforeLines="20" w:before="48" w:after="0" w:line="276" w:lineRule="auto"/>
      </w:pPr>
    </w:p>
    <w:p w:rsidR="00BF3DFD" w:rsidRPr="003D5EC9" w:rsidRDefault="00BF3DFD" w:rsidP="00E04B83">
      <w:pPr>
        <w:pStyle w:val="Chead"/>
        <w:spacing w:beforeLines="20" w:before="48" w:after="0" w:line="276" w:lineRule="auto"/>
        <w:rPr>
          <w:sz w:val="24"/>
        </w:rPr>
      </w:pPr>
      <w:r w:rsidRPr="003D5EC9">
        <w:rPr>
          <w:sz w:val="24"/>
        </w:rPr>
        <w:t>Highlights</w:t>
      </w:r>
      <w:r w:rsidR="00C735DC" w:rsidRPr="003D5EC9">
        <w:rPr>
          <w:sz w:val="24"/>
        </w:rPr>
        <w:t xml:space="preserve"> from </w:t>
      </w:r>
      <w:r w:rsidR="00776A5C" w:rsidRPr="003D5EC9">
        <w:rPr>
          <w:sz w:val="24"/>
        </w:rPr>
        <w:t>Quarter 1</w:t>
      </w:r>
      <w:r w:rsidRPr="003D5EC9">
        <w:rPr>
          <w:sz w:val="24"/>
        </w:rPr>
        <w:t xml:space="preserve"> </w:t>
      </w:r>
    </w:p>
    <w:p w:rsidR="007F0FD3" w:rsidRPr="00E04B83" w:rsidRDefault="00C735DC" w:rsidP="00E04B83">
      <w:pPr>
        <w:spacing w:beforeLines="20" w:before="48" w:after="0" w:line="276" w:lineRule="auto"/>
      </w:pPr>
      <w:r w:rsidRPr="00E04B83">
        <w:t xml:space="preserve">Building on our work with the </w:t>
      </w:r>
      <w:r w:rsidR="003D5EC9">
        <w:t xml:space="preserve">Health and Social Care </w:t>
      </w:r>
      <w:r w:rsidRPr="00E04B83">
        <w:t xml:space="preserve">Alliance </w:t>
      </w:r>
      <w:r w:rsidR="003D5EC9">
        <w:t xml:space="preserve">co-leading the </w:t>
      </w:r>
      <w:hyperlink r:id="rId39" w:history="1">
        <w:r w:rsidRPr="00E04B83">
          <w:rPr>
            <w:rStyle w:val="Hyperlink"/>
          </w:rPr>
          <w:t>Declaration Festival</w:t>
        </w:r>
      </w:hyperlink>
      <w:r w:rsidR="003D5EC9">
        <w:t xml:space="preserve">, which this year had a </w:t>
      </w:r>
      <w:r w:rsidRPr="00E04B83">
        <w:t>focus on Gypsy Traveller Rights</w:t>
      </w:r>
      <w:r w:rsidR="003D5EC9">
        <w:t>,</w:t>
      </w:r>
      <w:r w:rsidRPr="00E04B83">
        <w:t xml:space="preserve"> we are collaborating with </w:t>
      </w:r>
      <w:r w:rsidRPr="003D5EC9">
        <w:rPr>
          <w:rStyle w:val="Hyperlink"/>
          <w:color w:val="auto"/>
        </w:rPr>
        <w:t>IRRIS</w:t>
      </w:r>
      <w:r w:rsidRPr="003D5EC9">
        <w:t xml:space="preserve"> </w:t>
      </w:r>
      <w:r w:rsidRPr="00E04B83">
        <w:t>to use evidence to influence public services workforces to improve practice and access for Gypsy Travellers</w:t>
      </w:r>
      <w:r w:rsidR="003D5EC9">
        <w:rPr>
          <w:b/>
        </w:rPr>
        <w:t>.</w:t>
      </w:r>
    </w:p>
    <w:p w:rsidR="007F0FD3" w:rsidRPr="00E04B83" w:rsidRDefault="007F0FD3" w:rsidP="00E04B83">
      <w:pPr>
        <w:spacing w:beforeLines="20" w:before="48" w:after="0" w:line="276" w:lineRule="auto"/>
      </w:pPr>
    </w:p>
    <w:p w:rsidR="00C735DC" w:rsidRPr="00E04B83" w:rsidRDefault="00C735DC" w:rsidP="00E04B83">
      <w:pPr>
        <w:spacing w:beforeLines="20" w:before="48" w:after="0" w:line="276" w:lineRule="auto"/>
      </w:pPr>
      <w:r w:rsidRPr="00E04B83">
        <w:t xml:space="preserve">We strengthened capacity through the launch of </w:t>
      </w:r>
      <w:hyperlink r:id="rId40" w:history="1">
        <w:r w:rsidRPr="00E04B83">
          <w:rPr>
            <w:rStyle w:val="Hyperlink"/>
            <w:color w:val="0066FF"/>
          </w:rPr>
          <w:t>Health Literacy eLearning</w:t>
        </w:r>
      </w:hyperlink>
      <w:r w:rsidRPr="00E04B83">
        <w:t xml:space="preserve"> </w:t>
      </w:r>
      <w:r w:rsidRPr="00E04B83">
        <w:softHyphen/>
        <w:t>to help deliver the national health literacy plan. The learning is aimed at frontline staff and managers</w:t>
      </w:r>
      <w:r w:rsidRPr="00E04B83">
        <w:rPr>
          <w:shd w:val="clear" w:color="auto" w:fill="FFFFFF"/>
        </w:rPr>
        <w:t xml:space="preserve"> to highlight the relationship between health literacy and health inequalities and encourage them to take action and support system improvement</w:t>
      </w:r>
      <w:r w:rsidR="003D5EC9">
        <w:rPr>
          <w:shd w:val="clear" w:color="auto" w:fill="FFFFFF"/>
        </w:rPr>
        <w:t>.</w:t>
      </w:r>
    </w:p>
    <w:p w:rsidR="007F0FD3" w:rsidRPr="00E04B83" w:rsidRDefault="007F0FD3" w:rsidP="00E04B83">
      <w:pPr>
        <w:autoSpaceDE w:val="0"/>
        <w:autoSpaceDN w:val="0"/>
        <w:adjustRightInd w:val="0"/>
        <w:spacing w:beforeLines="20" w:before="48" w:after="0" w:line="276" w:lineRule="auto"/>
        <w:rPr>
          <w:rFonts w:eastAsiaTheme="minorHAnsi"/>
          <w:sz w:val="22"/>
          <w:szCs w:val="22"/>
        </w:rPr>
      </w:pPr>
    </w:p>
    <w:p w:rsidR="00C44966" w:rsidRPr="007F0FD3" w:rsidRDefault="00C735DC" w:rsidP="00E04B83">
      <w:pPr>
        <w:pStyle w:val="BodyText1"/>
        <w:spacing w:beforeLines="20" w:before="48" w:line="276" w:lineRule="auto"/>
      </w:pPr>
      <w:r w:rsidRPr="00E04B83">
        <w:t>We worked with partners, young people and parents to influence the planned expansion of the HPV vaccine to all S1 pupils. This vaccine protects boys as well as girls against a range of cancers caused by HPV. The initiative includes WHO accredited vaccine education, which earns vaccines for children in developing countries through Unicef Scotland. The World Health Organization lists vaccine hesitancy as one of the top 10 threats to global health</w:t>
      </w:r>
      <w:r w:rsidR="003D5EC9">
        <w:t>.</w:t>
      </w:r>
    </w:p>
    <w:p w:rsidR="00AA3A4C" w:rsidRPr="007F0FD3" w:rsidRDefault="00AA3A4C" w:rsidP="00E04B83">
      <w:pPr>
        <w:pStyle w:val="BodyText1"/>
        <w:spacing w:beforeLines="20" w:before="48" w:line="276" w:lineRule="auto"/>
      </w:pPr>
    </w:p>
    <w:p w:rsidR="00AA3A4C" w:rsidRPr="00E04B83" w:rsidRDefault="00AA3A4C" w:rsidP="00E04B83">
      <w:pPr>
        <w:pStyle w:val="Chead"/>
        <w:spacing w:beforeLines="20" w:before="48" w:after="0" w:line="276" w:lineRule="auto"/>
        <w:rPr>
          <w:b w:val="0"/>
        </w:rPr>
        <w:sectPr w:rsidR="00AA3A4C" w:rsidRPr="00E04B83" w:rsidSect="00E91D38">
          <w:pgSz w:w="11906" w:h="16838"/>
          <w:pgMar w:top="1440" w:right="1800" w:bottom="1440" w:left="1800" w:header="708" w:footer="708" w:gutter="0"/>
          <w:cols w:space="708"/>
          <w:docGrid w:linePitch="360"/>
        </w:sectPr>
      </w:pPr>
    </w:p>
    <w:p w:rsidR="001636E1" w:rsidRPr="003D5EC9" w:rsidRDefault="001636E1" w:rsidP="00E04B83">
      <w:pPr>
        <w:pStyle w:val="Chead"/>
        <w:spacing w:beforeLines="20" w:before="48" w:after="0" w:line="276" w:lineRule="auto"/>
        <w:rPr>
          <w:sz w:val="24"/>
        </w:rPr>
      </w:pPr>
      <w:r w:rsidRPr="003D5EC9">
        <w:rPr>
          <w:sz w:val="24"/>
        </w:rPr>
        <w:lastRenderedPageBreak/>
        <w:t>Performance Information</w:t>
      </w:r>
      <w:r w:rsidR="00F40641" w:rsidRPr="003D5EC9">
        <w:rPr>
          <w:sz w:val="24"/>
        </w:rPr>
        <w:t>: Quarter 1</w:t>
      </w:r>
    </w:p>
    <w:p w:rsidR="00306306" w:rsidRDefault="00306306" w:rsidP="00E04B83">
      <w:pPr>
        <w:spacing w:beforeLines="20" w:before="48" w:after="0" w:line="276" w:lineRule="auto"/>
      </w:pPr>
      <w:r>
        <w:t xml:space="preserve">The following table details the Performance Indicators that were due for completion this quarter and provides a narrative for each. </w:t>
      </w:r>
    </w:p>
    <w:p w:rsidR="00306306" w:rsidRDefault="00306306" w:rsidP="00E04B83">
      <w:pPr>
        <w:spacing w:beforeLines="20" w:before="48" w:after="0" w:line="276" w:lineRule="auto"/>
      </w:pPr>
    </w:p>
    <w:tbl>
      <w:tblPr>
        <w:tblStyle w:val="TableGrid"/>
        <w:tblW w:w="14029" w:type="dxa"/>
        <w:tblLayout w:type="fixed"/>
        <w:tblLook w:val="04A0" w:firstRow="1" w:lastRow="0" w:firstColumn="1" w:lastColumn="0" w:noHBand="0" w:noVBand="1"/>
      </w:tblPr>
      <w:tblGrid>
        <w:gridCol w:w="4248"/>
        <w:gridCol w:w="4111"/>
        <w:gridCol w:w="1000"/>
        <w:gridCol w:w="4670"/>
      </w:tblGrid>
      <w:tr w:rsidR="00306306" w:rsidRPr="004E4D1B" w:rsidTr="00AA3A4C">
        <w:tc>
          <w:tcPr>
            <w:tcW w:w="4248" w:type="dxa"/>
          </w:tcPr>
          <w:p w:rsidR="00306306" w:rsidRPr="004E4D1B" w:rsidRDefault="00306306" w:rsidP="00E04B83">
            <w:pPr>
              <w:spacing w:beforeLines="20" w:before="48" w:after="0" w:line="276" w:lineRule="auto"/>
              <w:rPr>
                <w:b/>
                <w:color w:val="000000"/>
              </w:rPr>
            </w:pPr>
            <w:r w:rsidRPr="004E4D1B">
              <w:rPr>
                <w:b/>
                <w:color w:val="000000"/>
              </w:rPr>
              <w:t>Delivery Commitment</w:t>
            </w:r>
          </w:p>
        </w:tc>
        <w:tc>
          <w:tcPr>
            <w:tcW w:w="4111" w:type="dxa"/>
          </w:tcPr>
          <w:p w:rsidR="00306306" w:rsidRPr="004E4D1B" w:rsidRDefault="00306306" w:rsidP="00E04B83">
            <w:pPr>
              <w:spacing w:beforeLines="20" w:before="48" w:after="0" w:line="276" w:lineRule="auto"/>
              <w:rPr>
                <w:b/>
                <w:bCs/>
              </w:rPr>
            </w:pPr>
            <w:r w:rsidRPr="004E4D1B">
              <w:rPr>
                <w:b/>
                <w:bCs/>
              </w:rPr>
              <w:t>Performance Indicator</w:t>
            </w:r>
          </w:p>
        </w:tc>
        <w:tc>
          <w:tcPr>
            <w:tcW w:w="1000" w:type="dxa"/>
          </w:tcPr>
          <w:p w:rsidR="00306306" w:rsidRPr="004E4D1B" w:rsidRDefault="00306306" w:rsidP="00E04B83">
            <w:pPr>
              <w:spacing w:beforeLines="20" w:before="48" w:after="0" w:line="276" w:lineRule="auto"/>
              <w:rPr>
                <w:b/>
                <w:color w:val="FF0000"/>
              </w:rPr>
            </w:pPr>
            <w:r>
              <w:rPr>
                <w:b/>
              </w:rPr>
              <w:t>Y/N</w:t>
            </w:r>
          </w:p>
        </w:tc>
        <w:tc>
          <w:tcPr>
            <w:tcW w:w="4670" w:type="dxa"/>
          </w:tcPr>
          <w:p w:rsidR="00306306" w:rsidRPr="004E4D1B" w:rsidRDefault="00306306" w:rsidP="00E04B83">
            <w:pPr>
              <w:spacing w:beforeLines="20" w:before="48" w:after="0" w:line="276" w:lineRule="auto"/>
              <w:rPr>
                <w:b/>
                <w:color w:val="000000"/>
              </w:rPr>
            </w:pPr>
            <w:r w:rsidRPr="004E4D1B">
              <w:rPr>
                <w:b/>
                <w:color w:val="000000"/>
              </w:rPr>
              <w:t>Comment</w:t>
            </w:r>
          </w:p>
        </w:tc>
      </w:tr>
      <w:tr w:rsidR="009C6545" w:rsidRPr="003738D2" w:rsidTr="00AA3A4C">
        <w:tc>
          <w:tcPr>
            <w:tcW w:w="4248" w:type="dxa"/>
          </w:tcPr>
          <w:p w:rsidR="009C6545" w:rsidRPr="003738D2" w:rsidRDefault="00F40641" w:rsidP="00E04B83">
            <w:pPr>
              <w:spacing w:beforeLines="20" w:before="48" w:after="0" w:line="276" w:lineRule="auto"/>
              <w:rPr>
                <w:bCs/>
              </w:rPr>
            </w:pPr>
            <w:r w:rsidRPr="00C56B20">
              <w:t xml:space="preserve">5.6.10 Produce public and professional facing information and guidance in order to support informed, equitable access to all cancer and non-cancer screening programmes  </w:t>
            </w:r>
          </w:p>
        </w:tc>
        <w:tc>
          <w:tcPr>
            <w:tcW w:w="4111" w:type="dxa"/>
          </w:tcPr>
          <w:p w:rsidR="009C6545" w:rsidRPr="003738D2" w:rsidRDefault="00F40641" w:rsidP="00E04B83">
            <w:pPr>
              <w:spacing w:beforeLines="20" w:before="48" w:after="0" w:line="276" w:lineRule="auto"/>
              <w:rPr>
                <w:bCs/>
              </w:rPr>
            </w:pPr>
            <w:r w:rsidRPr="00C56B20">
              <w:t>We have contributed to a UK working group to develop and publish guidance on informed choice for the UK screening programme</w:t>
            </w:r>
          </w:p>
        </w:tc>
        <w:tc>
          <w:tcPr>
            <w:tcW w:w="1000" w:type="dxa"/>
          </w:tcPr>
          <w:p w:rsidR="009C6545" w:rsidRPr="003738D2" w:rsidRDefault="003D6240" w:rsidP="00E04B83">
            <w:pPr>
              <w:spacing w:beforeLines="20" w:before="48" w:after="0" w:line="276" w:lineRule="auto"/>
              <w:rPr>
                <w:b/>
              </w:rPr>
            </w:pPr>
            <w:r w:rsidRPr="003D5EC9">
              <w:rPr>
                <w:b/>
                <w:color w:val="00B050"/>
              </w:rPr>
              <w:t>Yes</w:t>
            </w:r>
          </w:p>
        </w:tc>
        <w:tc>
          <w:tcPr>
            <w:tcW w:w="4670" w:type="dxa"/>
          </w:tcPr>
          <w:p w:rsidR="009C6545" w:rsidRPr="00E04B83" w:rsidRDefault="003D5EC9" w:rsidP="00E04B83">
            <w:pPr>
              <w:spacing w:beforeLines="20" w:before="48" w:after="0" w:line="276" w:lineRule="auto"/>
              <w:rPr>
                <w:color w:val="000000"/>
              </w:rPr>
            </w:pPr>
            <w:r>
              <w:rPr>
                <w:color w:val="000000"/>
              </w:rPr>
              <w:t>T</w:t>
            </w:r>
            <w:r w:rsidR="00681999">
              <w:rPr>
                <w:color w:val="000000"/>
              </w:rPr>
              <w:t xml:space="preserve">he </w:t>
            </w:r>
            <w:hyperlink r:id="rId41" w:history="1">
              <w:r w:rsidRPr="003D5EC9">
                <w:rPr>
                  <w:rStyle w:val="Hyperlink"/>
                  <w:noProof w:val="0"/>
                </w:rPr>
                <w:t>Guidance for the development, production and review of information to support UK population screening programmes</w:t>
              </w:r>
            </w:hyperlink>
            <w:r>
              <w:rPr>
                <w:color w:val="000000"/>
              </w:rPr>
              <w:t xml:space="preserve"> has been published.</w:t>
            </w:r>
          </w:p>
        </w:tc>
      </w:tr>
      <w:tr w:rsidR="009C6545" w:rsidRPr="003738D2" w:rsidTr="00AA3A4C">
        <w:tc>
          <w:tcPr>
            <w:tcW w:w="4248" w:type="dxa"/>
          </w:tcPr>
          <w:p w:rsidR="009C6545" w:rsidRPr="003738D2" w:rsidRDefault="00F40641" w:rsidP="00E04B83">
            <w:pPr>
              <w:spacing w:beforeLines="20" w:before="48" w:after="0" w:line="276" w:lineRule="auto"/>
              <w:rPr>
                <w:bCs/>
              </w:rPr>
            </w:pPr>
            <w:r w:rsidRPr="00C56B20">
              <w:t>5.6.12 Work in collaboration with a range of key stakeholders in the strategic development of the core public health workforce in Scotland</w:t>
            </w:r>
          </w:p>
        </w:tc>
        <w:tc>
          <w:tcPr>
            <w:tcW w:w="4111" w:type="dxa"/>
          </w:tcPr>
          <w:p w:rsidR="009C6545" w:rsidRPr="003738D2" w:rsidRDefault="00F40641" w:rsidP="00E04B83">
            <w:pPr>
              <w:spacing w:beforeLines="20" w:before="48" w:after="0" w:line="276" w:lineRule="auto"/>
              <w:rPr>
                <w:bCs/>
              </w:rPr>
            </w:pPr>
            <w:r w:rsidRPr="00C56B20">
              <w:t>We have worked collaboratively with Scottish Health Promotion Managers to produce and disseminate a Public Health Skills and Knowledge Framework resource to support practitioner development</w:t>
            </w:r>
          </w:p>
        </w:tc>
        <w:tc>
          <w:tcPr>
            <w:tcW w:w="1000" w:type="dxa"/>
          </w:tcPr>
          <w:p w:rsidR="009C6545" w:rsidRPr="003738D2" w:rsidRDefault="00A408D8" w:rsidP="00E04B83">
            <w:pPr>
              <w:spacing w:beforeLines="20" w:before="48" w:after="0" w:line="276" w:lineRule="auto"/>
              <w:rPr>
                <w:b/>
                <w:color w:val="00B050"/>
              </w:rPr>
            </w:pPr>
            <w:r w:rsidRPr="003D5EC9">
              <w:rPr>
                <w:b/>
                <w:color w:val="00B050"/>
              </w:rPr>
              <w:t>Yes</w:t>
            </w:r>
          </w:p>
        </w:tc>
        <w:tc>
          <w:tcPr>
            <w:tcW w:w="4670" w:type="dxa"/>
          </w:tcPr>
          <w:p w:rsidR="00A408D8" w:rsidRDefault="00A408D8" w:rsidP="00E04B83">
            <w:pPr>
              <w:spacing w:beforeLines="20" w:before="48" w:after="0" w:line="276" w:lineRule="auto"/>
              <w:rPr>
                <w:color w:val="000000"/>
                <w:lang w:val="en-US"/>
              </w:rPr>
            </w:pPr>
            <w:r w:rsidRPr="00FE749A">
              <w:rPr>
                <w:color w:val="000000"/>
                <w:lang w:val="en-US"/>
              </w:rPr>
              <w:t xml:space="preserve">The Public Health Skills and Knowledge Framework and supporting resources have been made available to health improvement staff teams across Scotland. </w:t>
            </w:r>
          </w:p>
          <w:p w:rsidR="003D5EC9" w:rsidRPr="00FE749A" w:rsidRDefault="003D5EC9" w:rsidP="00E04B83">
            <w:pPr>
              <w:spacing w:beforeLines="20" w:before="48" w:after="0" w:line="276" w:lineRule="auto"/>
              <w:rPr>
                <w:rFonts w:eastAsiaTheme="minorHAnsi"/>
                <w:color w:val="000000"/>
                <w:sz w:val="22"/>
                <w:szCs w:val="22"/>
                <w:lang w:val="en-US" w:eastAsia="en-US"/>
              </w:rPr>
            </w:pPr>
          </w:p>
          <w:p w:rsidR="009C6545" w:rsidRPr="003738D2" w:rsidRDefault="00A408D8" w:rsidP="00E04B83">
            <w:pPr>
              <w:spacing w:beforeLines="20" w:before="48" w:after="0" w:line="276" w:lineRule="auto"/>
            </w:pPr>
            <w:r w:rsidRPr="00FE749A">
              <w:rPr>
                <w:color w:val="000000"/>
                <w:lang w:val="en-US"/>
              </w:rPr>
              <w:t>In addition, NHS Health Scotland staff can access resources via The Source.</w:t>
            </w:r>
          </w:p>
        </w:tc>
      </w:tr>
    </w:tbl>
    <w:p w:rsidR="000B33A9" w:rsidRDefault="000B33A9" w:rsidP="00E04B83">
      <w:pPr>
        <w:spacing w:beforeLines="20" w:before="48" w:after="0" w:line="276" w:lineRule="auto"/>
        <w:rPr>
          <w:b/>
        </w:rPr>
        <w:sectPr w:rsidR="000B33A9" w:rsidSect="000B33A9">
          <w:pgSz w:w="16838" w:h="11906" w:orient="landscape"/>
          <w:pgMar w:top="1800" w:right="1440" w:bottom="1800" w:left="1440" w:header="708" w:footer="708" w:gutter="0"/>
          <w:cols w:space="708"/>
          <w:docGrid w:linePitch="360"/>
        </w:sectPr>
      </w:pPr>
    </w:p>
    <w:p w:rsidR="005274CB" w:rsidRDefault="005274CB" w:rsidP="00E04B83">
      <w:pPr>
        <w:spacing w:beforeLines="20" w:before="48" w:after="0" w:line="276" w:lineRule="auto"/>
        <w:rPr>
          <w:b/>
        </w:rPr>
      </w:pPr>
      <w:r w:rsidRPr="003A5504">
        <w:rPr>
          <w:b/>
        </w:rPr>
        <w:lastRenderedPageBreak/>
        <w:t>Issues affecting delivery</w:t>
      </w:r>
      <w:r w:rsidR="00776A5C">
        <w:rPr>
          <w:b/>
        </w:rPr>
        <w:t xml:space="preserve"> in Q1</w:t>
      </w:r>
    </w:p>
    <w:p w:rsidR="00EE6676" w:rsidRDefault="00EE6676" w:rsidP="00E04B83">
      <w:pPr>
        <w:pStyle w:val="BodyText1"/>
        <w:spacing w:beforeLines="20" w:before="48" w:line="276" w:lineRule="auto"/>
      </w:pPr>
      <w:r>
        <w:rPr>
          <w:noProof/>
        </w:rPr>
        <w:drawing>
          <wp:inline distT="0" distB="0" distL="0" distR="0" wp14:anchorId="6EF63F6B" wp14:editId="5E2FC8B1">
            <wp:extent cx="5166360" cy="2743200"/>
            <wp:effectExtent l="0" t="0" r="1524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735DC" w:rsidRPr="00E04B83" w:rsidRDefault="00C735DC" w:rsidP="00E04B83">
      <w:pPr>
        <w:spacing w:beforeLines="20" w:before="48" w:after="0" w:line="276" w:lineRule="auto"/>
      </w:pPr>
    </w:p>
    <w:p w:rsidR="003D5EC9" w:rsidRDefault="003D5EC9" w:rsidP="003D5EC9">
      <w:pPr>
        <w:spacing w:beforeLines="20" w:before="48" w:after="0" w:line="276" w:lineRule="auto"/>
      </w:pPr>
    </w:p>
    <w:p w:rsidR="003D5EC9" w:rsidRDefault="003D5EC9" w:rsidP="003D5EC9">
      <w:pPr>
        <w:spacing w:beforeLines="20" w:before="48" w:after="0" w:line="276" w:lineRule="auto"/>
      </w:pPr>
      <w:r>
        <w:t>Active management of the issues above includes:</w:t>
      </w:r>
    </w:p>
    <w:p w:rsidR="003D5EC9" w:rsidRDefault="003D5EC9" w:rsidP="00265D9C">
      <w:pPr>
        <w:pStyle w:val="ListParagraph"/>
        <w:numPr>
          <w:ilvl w:val="0"/>
          <w:numId w:val="12"/>
        </w:numPr>
        <w:spacing w:beforeLines="20" w:before="48" w:after="0" w:line="276" w:lineRule="auto"/>
      </w:pPr>
      <w:r>
        <w:t>D</w:t>
      </w:r>
      <w:r w:rsidRPr="00E04B83">
        <w:t xml:space="preserve">elays in staff recruitment in some teams have impacted on the ability to develop </w:t>
      </w:r>
      <w:r>
        <w:t>some planned work.</w:t>
      </w:r>
      <w:r w:rsidRPr="00E04B83">
        <w:t xml:space="preserve"> </w:t>
      </w:r>
    </w:p>
    <w:p w:rsidR="003D5EC9" w:rsidRDefault="003D5EC9" w:rsidP="00265D9C">
      <w:pPr>
        <w:pStyle w:val="ListParagraph"/>
        <w:numPr>
          <w:ilvl w:val="0"/>
          <w:numId w:val="12"/>
        </w:numPr>
        <w:spacing w:beforeLines="20" w:before="48" w:after="0" w:line="276" w:lineRule="auto"/>
      </w:pPr>
      <w:r>
        <w:t>Clarification of actions with Scottish Government.</w:t>
      </w:r>
    </w:p>
    <w:p w:rsidR="003D5EC9" w:rsidRDefault="003D5EC9" w:rsidP="00265D9C">
      <w:pPr>
        <w:pStyle w:val="ListParagraph"/>
        <w:numPr>
          <w:ilvl w:val="0"/>
          <w:numId w:val="12"/>
        </w:numPr>
        <w:spacing w:beforeLines="20" w:before="48" w:after="0" w:line="276" w:lineRule="auto"/>
      </w:pPr>
      <w:r>
        <w:t>Managing uncertainty relating to the move to Public Health Scotland.</w:t>
      </w:r>
    </w:p>
    <w:p w:rsidR="003D5EC9" w:rsidRDefault="003D5EC9" w:rsidP="00E04B83">
      <w:pPr>
        <w:spacing w:beforeLines="20" w:before="48" w:after="0" w:line="276" w:lineRule="auto"/>
      </w:pPr>
    </w:p>
    <w:p w:rsidR="00E72EA7" w:rsidRPr="00E04B83" w:rsidRDefault="002971D8" w:rsidP="00E04B83">
      <w:pPr>
        <w:spacing w:beforeLines="20" w:before="48" w:after="0" w:line="276" w:lineRule="auto"/>
      </w:pPr>
      <w:r w:rsidRPr="003A5504">
        <w:rPr>
          <w:b/>
        </w:rPr>
        <w:t>Financial data</w:t>
      </w:r>
    </w:p>
    <w:p w:rsidR="00DE4249" w:rsidRDefault="00DE4249" w:rsidP="00E04B83">
      <w:pPr>
        <w:spacing w:beforeLines="20" w:before="48" w:after="0" w:line="276" w:lineRule="auto"/>
      </w:pPr>
      <w:r>
        <w:rPr>
          <w:noProof/>
        </w:rPr>
        <w:drawing>
          <wp:inline distT="0" distB="0" distL="0" distR="0" wp14:anchorId="3F0743B4" wp14:editId="21C59053">
            <wp:extent cx="5212080" cy="2743200"/>
            <wp:effectExtent l="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D5EC9" w:rsidRDefault="003D5EC9">
      <w:pPr>
        <w:spacing w:before="0" w:after="160" w:line="259" w:lineRule="auto"/>
        <w:rPr>
          <w:b/>
        </w:rPr>
      </w:pPr>
      <w:r>
        <w:rPr>
          <w:b/>
        </w:rPr>
        <w:br w:type="page"/>
      </w:r>
    </w:p>
    <w:p w:rsidR="00776A5C" w:rsidRPr="00574425" w:rsidRDefault="002971D8" w:rsidP="00E04B83">
      <w:pPr>
        <w:spacing w:beforeLines="20" w:before="48" w:after="0" w:line="276" w:lineRule="auto"/>
        <w:rPr>
          <w:b/>
        </w:rPr>
      </w:pPr>
      <w:r>
        <w:rPr>
          <w:b/>
        </w:rPr>
        <w:lastRenderedPageBreak/>
        <w:t>Staff time data</w:t>
      </w:r>
    </w:p>
    <w:p w:rsidR="00574425" w:rsidRDefault="00574425" w:rsidP="00E04B83">
      <w:pPr>
        <w:spacing w:beforeLines="20" w:before="48" w:after="0" w:line="276" w:lineRule="auto"/>
      </w:pPr>
      <w:r>
        <w:rPr>
          <w:noProof/>
        </w:rPr>
        <w:drawing>
          <wp:inline distT="0" distB="0" distL="0" distR="0" wp14:anchorId="425AB98C" wp14:editId="36CA5743">
            <wp:extent cx="5274310" cy="2610485"/>
            <wp:effectExtent l="0" t="0" r="2540" b="184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74425" w:rsidRDefault="00574425" w:rsidP="00E04B83">
      <w:pPr>
        <w:spacing w:beforeLines="20" w:before="48" w:after="0" w:line="276" w:lineRule="auto"/>
      </w:pPr>
      <w:r>
        <w:rPr>
          <w:noProof/>
        </w:rPr>
        <w:drawing>
          <wp:inline distT="0" distB="0" distL="0" distR="0" wp14:anchorId="5F6AC67C" wp14:editId="72D72794">
            <wp:extent cx="5364480" cy="2654300"/>
            <wp:effectExtent l="0" t="0" r="762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D5EC9" w:rsidRDefault="003D5EC9" w:rsidP="00E04B83">
      <w:pPr>
        <w:spacing w:beforeLines="20" w:before="48" w:after="0" w:line="276" w:lineRule="auto"/>
      </w:pPr>
    </w:p>
    <w:p w:rsidR="00663A1A" w:rsidRPr="003D5EC9" w:rsidRDefault="00E72EA7" w:rsidP="00E04B83">
      <w:pPr>
        <w:spacing w:beforeLines="20" w:before="48" w:after="0" w:line="276" w:lineRule="auto"/>
        <w:rPr>
          <w:b/>
        </w:rPr>
      </w:pPr>
      <w:r w:rsidRPr="003D5EC9">
        <w:rPr>
          <w:b/>
        </w:rPr>
        <w:t>Coming up in Quarter 2</w:t>
      </w:r>
    </w:p>
    <w:p w:rsidR="00E72EA7" w:rsidRPr="003D5EC9" w:rsidRDefault="00E72EA7" w:rsidP="00265D9C">
      <w:pPr>
        <w:pStyle w:val="NormalWeb"/>
        <w:numPr>
          <w:ilvl w:val="0"/>
          <w:numId w:val="16"/>
        </w:numPr>
        <w:spacing w:beforeLines="20" w:before="48" w:line="276" w:lineRule="auto"/>
        <w:rPr>
          <w:color w:val="000000"/>
        </w:rPr>
      </w:pPr>
      <w:r w:rsidRPr="003D5EC9">
        <w:rPr>
          <w:rFonts w:ascii="Arial" w:hAnsi="Arial" w:cs="Arial"/>
          <w:color w:val="000000"/>
        </w:rPr>
        <w:t xml:space="preserve">We support inequalities-sensitive practice through promotion of our immunisation leaflets in alternative languages and formats with under-immunised populations. We will meet with members of the Deaf Community in Lanarkshire about how we best promote the flu BSL videos that are available on NHS Inform. </w:t>
      </w:r>
    </w:p>
    <w:p w:rsidR="00E72EA7" w:rsidRPr="003D5EC9" w:rsidRDefault="00E72EA7" w:rsidP="00265D9C">
      <w:pPr>
        <w:pStyle w:val="ListParagraph"/>
        <w:numPr>
          <w:ilvl w:val="0"/>
          <w:numId w:val="16"/>
        </w:numPr>
        <w:spacing w:beforeLines="20" w:before="48" w:after="0" w:line="276" w:lineRule="auto"/>
        <w:rPr>
          <w:i/>
          <w:color w:val="000000"/>
        </w:rPr>
      </w:pPr>
      <w:r w:rsidRPr="003D5EC9">
        <w:rPr>
          <w:color w:val="000000"/>
        </w:rPr>
        <w:t xml:space="preserve">We will deliver workforce development opportunities with key stakeholders to provide leadership and support for core public health practice. </w:t>
      </w:r>
    </w:p>
    <w:p w:rsidR="00E72EA7" w:rsidRPr="003D5EC9" w:rsidRDefault="00E72EA7" w:rsidP="00265D9C">
      <w:pPr>
        <w:pStyle w:val="ListParagraph"/>
        <w:numPr>
          <w:ilvl w:val="0"/>
          <w:numId w:val="16"/>
        </w:numPr>
        <w:spacing w:beforeLines="20" w:before="48" w:after="0" w:line="276" w:lineRule="auto"/>
        <w:rPr>
          <w:i/>
          <w:color w:val="000000"/>
        </w:rPr>
      </w:pPr>
      <w:r w:rsidRPr="00E72EA7">
        <w:t>We will support whole system approach work with Police Scotland, linked to Public Health Reform.</w:t>
      </w:r>
    </w:p>
    <w:p w:rsidR="00E72EA7" w:rsidRDefault="00E72EA7" w:rsidP="00E04B83">
      <w:pPr>
        <w:spacing w:beforeLines="20" w:before="48" w:after="0" w:line="276" w:lineRule="auto"/>
      </w:pPr>
    </w:p>
    <w:p w:rsidR="005274CB" w:rsidRDefault="005274CB" w:rsidP="00E04B83">
      <w:pPr>
        <w:spacing w:beforeLines="20" w:before="48" w:after="0" w:line="276" w:lineRule="auto"/>
        <w:rPr>
          <w:rFonts w:eastAsia="Cambria"/>
          <w:b/>
          <w:color w:val="000000" w:themeColor="text1"/>
          <w:sz w:val="32"/>
        </w:rPr>
      </w:pPr>
    </w:p>
    <w:p w:rsidR="00776A5C" w:rsidRDefault="00776A5C" w:rsidP="00E04B83">
      <w:pPr>
        <w:pStyle w:val="Bhead"/>
        <w:spacing w:beforeLines="20" w:before="48" w:after="0" w:line="276" w:lineRule="auto"/>
      </w:pPr>
    </w:p>
    <w:p w:rsidR="001636E1" w:rsidRDefault="00776A5C" w:rsidP="003D5EC9">
      <w:pPr>
        <w:pStyle w:val="Bhead"/>
        <w:spacing w:beforeLines="20" w:before="48" w:after="0" w:line="276" w:lineRule="auto"/>
        <w:ind w:right="-766"/>
      </w:pPr>
      <w:bookmarkStart w:id="8" w:name="_Toc18312840"/>
      <w:r>
        <w:lastRenderedPageBreak/>
        <w:t>Strategic Change Priority</w:t>
      </w:r>
      <w:r w:rsidR="001636E1">
        <w:t xml:space="preserve">: </w:t>
      </w:r>
      <w:r>
        <w:t>Making a Successful Transition</w:t>
      </w:r>
      <w:bookmarkEnd w:id="8"/>
    </w:p>
    <w:p w:rsidR="003D5EC9" w:rsidRDefault="003D5EC9" w:rsidP="00E04B83">
      <w:pPr>
        <w:pStyle w:val="Chead"/>
        <w:spacing w:beforeLines="20" w:before="48" w:after="0" w:line="276" w:lineRule="auto"/>
      </w:pPr>
    </w:p>
    <w:p w:rsidR="00BF3DFD" w:rsidRPr="003D5EC9" w:rsidRDefault="00BF3DFD" w:rsidP="00344EB9">
      <w:pPr>
        <w:pStyle w:val="Chead"/>
        <w:spacing w:beforeLines="20" w:before="48" w:after="0" w:line="276" w:lineRule="auto"/>
        <w:rPr>
          <w:sz w:val="24"/>
        </w:rPr>
      </w:pPr>
      <w:r w:rsidRPr="003D5EC9">
        <w:rPr>
          <w:sz w:val="24"/>
        </w:rPr>
        <w:t>Highlights</w:t>
      </w:r>
      <w:r w:rsidR="00776A5C" w:rsidRPr="003D5EC9">
        <w:rPr>
          <w:sz w:val="24"/>
        </w:rPr>
        <w:t xml:space="preserve"> </w:t>
      </w:r>
      <w:r w:rsidR="00C735DC" w:rsidRPr="003D5EC9">
        <w:rPr>
          <w:sz w:val="24"/>
        </w:rPr>
        <w:t xml:space="preserve">from </w:t>
      </w:r>
      <w:r w:rsidR="00776A5C" w:rsidRPr="003D5EC9">
        <w:rPr>
          <w:sz w:val="24"/>
        </w:rPr>
        <w:t>Quarter 1</w:t>
      </w:r>
    </w:p>
    <w:p w:rsidR="00386208" w:rsidRDefault="00386208" w:rsidP="00344EB9">
      <w:pPr>
        <w:spacing w:before="20" w:after="0" w:line="276" w:lineRule="auto"/>
      </w:pPr>
      <w:r>
        <w:t xml:space="preserve">We have engaged staff, non-executive board members and staffside on the development of our organisational response to the Public Health Scotland legislative consultation.  We have redeveloped the </w:t>
      </w:r>
      <w:hyperlink r:id="rId46" w:history="1">
        <w:r w:rsidRPr="00386208">
          <w:rPr>
            <w:rStyle w:val="Hyperlink"/>
            <w:noProof w:val="0"/>
          </w:rPr>
          <w:t>Our Context: Public Health in Scotland</w:t>
        </w:r>
      </w:hyperlink>
      <w:r>
        <w:t xml:space="preserve"> pages of our website ready to give the response a prominent place.  The response sets out our position on a number of key issues including independence of voice, taking a human rights based approach to public health, climate change, and local partnership working.</w:t>
      </w:r>
    </w:p>
    <w:p w:rsidR="00386208" w:rsidRDefault="00386208" w:rsidP="00344EB9">
      <w:pPr>
        <w:spacing w:before="20" w:after="0" w:line="276" w:lineRule="auto"/>
      </w:pPr>
    </w:p>
    <w:p w:rsidR="00CA17DA" w:rsidRPr="00344EB9" w:rsidRDefault="00344EB9" w:rsidP="00344EB9">
      <w:pPr>
        <w:spacing w:before="20" w:after="0" w:line="276" w:lineRule="auto"/>
      </w:pPr>
      <w:r>
        <w:t>We have completed and reported on the f</w:t>
      </w:r>
      <w:r w:rsidR="00CA17DA" w:rsidRPr="00CA17DA">
        <w:rPr>
          <w:rFonts w:eastAsiaTheme="minorHAnsi"/>
        </w:rPr>
        <w:t xml:space="preserve">irst stage of </w:t>
      </w:r>
      <w:r>
        <w:rPr>
          <w:rFonts w:eastAsiaTheme="minorHAnsi"/>
        </w:rPr>
        <w:t xml:space="preserve">the </w:t>
      </w:r>
      <w:r w:rsidR="00CA17DA" w:rsidRPr="00CA17DA">
        <w:rPr>
          <w:rFonts w:eastAsiaTheme="minorHAnsi"/>
        </w:rPr>
        <w:t>Board Governance and executive corporate service benchmarking work</w:t>
      </w:r>
      <w:r>
        <w:rPr>
          <w:rFonts w:eastAsiaTheme="minorHAnsi"/>
        </w:rPr>
        <w:t xml:space="preserve"> and we </w:t>
      </w:r>
      <w:r w:rsidR="00CA17DA" w:rsidRPr="00CA17DA">
        <w:rPr>
          <w:rFonts w:eastAsiaTheme="minorHAnsi"/>
        </w:rPr>
        <w:t xml:space="preserve">continue to input to </w:t>
      </w:r>
      <w:r>
        <w:rPr>
          <w:rFonts w:eastAsiaTheme="minorHAnsi"/>
        </w:rPr>
        <w:t xml:space="preserve">the </w:t>
      </w:r>
      <w:r w:rsidR="00CA17DA" w:rsidRPr="00CA17DA">
        <w:rPr>
          <w:rFonts w:eastAsiaTheme="minorHAnsi"/>
        </w:rPr>
        <w:t xml:space="preserve">Board and Committee Governance project, </w:t>
      </w:r>
      <w:r>
        <w:rPr>
          <w:rFonts w:eastAsiaTheme="minorHAnsi"/>
        </w:rPr>
        <w:t xml:space="preserve">although </w:t>
      </w:r>
      <w:r w:rsidR="00CA17DA" w:rsidRPr="00CA17DA">
        <w:rPr>
          <w:rFonts w:eastAsiaTheme="minorHAnsi"/>
        </w:rPr>
        <w:t>progress is slow due to competing priorities.</w:t>
      </w:r>
    </w:p>
    <w:p w:rsidR="00CA17DA" w:rsidRPr="00CA17DA" w:rsidRDefault="00CA17DA" w:rsidP="00344EB9">
      <w:pPr>
        <w:pStyle w:val="Chead"/>
        <w:spacing w:beforeLines="20" w:before="48" w:after="0" w:line="276" w:lineRule="auto"/>
        <w:rPr>
          <w:rFonts w:eastAsiaTheme="minorHAnsi"/>
          <w:b w:val="0"/>
          <w:color w:val="auto"/>
          <w:sz w:val="24"/>
        </w:rPr>
      </w:pPr>
    </w:p>
    <w:p w:rsidR="00C14062" w:rsidRDefault="00CA17DA" w:rsidP="00344EB9">
      <w:pPr>
        <w:pStyle w:val="BodyText1"/>
        <w:spacing w:beforeLines="20" w:before="48" w:line="276" w:lineRule="auto"/>
      </w:pPr>
      <w:r w:rsidRPr="00CA17DA">
        <w:t xml:space="preserve">There has been timely and purposeful communication and engagement for our staff on a variety of transition areas (e.g. </w:t>
      </w:r>
      <w:r w:rsidR="00344EB9">
        <w:t>branding, TUPE, the l</w:t>
      </w:r>
      <w:r w:rsidRPr="00CA17DA">
        <w:t xml:space="preserve">egislative consultation, </w:t>
      </w:r>
      <w:r w:rsidR="00344EB9">
        <w:t xml:space="preserve">the shadow </w:t>
      </w:r>
      <w:r w:rsidRPr="00CA17DA">
        <w:t>EMT, Corp</w:t>
      </w:r>
      <w:r w:rsidR="00344EB9">
        <w:t>orate Services).</w:t>
      </w:r>
      <w:r w:rsidR="00386208">
        <w:t xml:space="preserve">  </w:t>
      </w:r>
    </w:p>
    <w:p w:rsidR="00265D9C" w:rsidRDefault="00265D9C" w:rsidP="00344EB9">
      <w:pPr>
        <w:pStyle w:val="BodyText1"/>
        <w:spacing w:beforeLines="20" w:before="48" w:line="276" w:lineRule="auto"/>
      </w:pPr>
    </w:p>
    <w:p w:rsidR="00265D9C" w:rsidRDefault="00386208" w:rsidP="00386208">
      <w:pPr>
        <w:pStyle w:val="BodyText1"/>
        <w:spacing w:beforeLines="20" w:before="48" w:line="276" w:lineRule="auto"/>
      </w:pPr>
      <w:r>
        <w:t xml:space="preserve">We are progressing four interlinked workstreams in relation to </w:t>
      </w:r>
      <w:r w:rsidR="00265D9C">
        <w:t>managing the legacy of</w:t>
      </w:r>
      <w:r>
        <w:t xml:space="preserve"> NHS Health Scotland. The four areas involve 1) </w:t>
      </w:r>
      <w:r w:rsidR="00265D9C">
        <w:t>articulating the contribution we have made to improving health and reducing health inequalities</w:t>
      </w:r>
      <w:r>
        <w:t xml:space="preserve"> over the last 17 years; 2)</w:t>
      </w:r>
      <w:r w:rsidR="00265D9C">
        <w:t xml:space="preserve"> </w:t>
      </w:r>
      <w:r>
        <w:t>c</w:t>
      </w:r>
      <w:r w:rsidR="00265D9C">
        <w:t>oncluding the business of the organisation, including following all gov</w:t>
      </w:r>
      <w:r>
        <w:t xml:space="preserve">ernance and due diligence norms; 3) tailoring our </w:t>
      </w:r>
      <w:r w:rsidR="00265D9C">
        <w:t>comm</w:t>
      </w:r>
      <w:r>
        <w:t xml:space="preserve">unications and engagement </w:t>
      </w:r>
      <w:r w:rsidR="00265D9C">
        <w:t>over the next 6 months to clearly convey to stakeholders that we are positive about the future and positive about taking with</w:t>
      </w:r>
      <w:r>
        <w:t xml:space="preserve"> us the good work and learning; 4) giving staff the</w:t>
      </w:r>
      <w:r w:rsidR="00265D9C">
        <w:t xml:space="preserve"> opportunity to celebrate their work, share memories and experience a positive farewell to this organisation. </w:t>
      </w:r>
    </w:p>
    <w:p w:rsidR="00CA17DA" w:rsidRDefault="00CA17DA" w:rsidP="00CA17DA">
      <w:pPr>
        <w:pStyle w:val="BodyText1"/>
        <w:spacing w:beforeLines="20" w:before="48" w:line="276" w:lineRule="auto"/>
      </w:pPr>
    </w:p>
    <w:p w:rsidR="00CA17DA" w:rsidRPr="00121207" w:rsidRDefault="00CA17DA" w:rsidP="00CA17DA">
      <w:pPr>
        <w:pStyle w:val="Chead"/>
        <w:spacing w:beforeLines="20" w:before="48" w:after="0" w:line="276" w:lineRule="auto"/>
        <w:rPr>
          <w:sz w:val="24"/>
        </w:rPr>
      </w:pPr>
      <w:r w:rsidRPr="00121207">
        <w:rPr>
          <w:sz w:val="24"/>
        </w:rPr>
        <w:t>Performance Information</w:t>
      </w:r>
    </w:p>
    <w:p w:rsidR="00CA17DA" w:rsidRPr="00121207" w:rsidRDefault="00CA17DA" w:rsidP="00CA17DA">
      <w:pPr>
        <w:spacing w:beforeLines="20" w:before="48" w:after="0" w:line="276" w:lineRule="auto"/>
        <w:rPr>
          <w:szCs w:val="28"/>
        </w:rPr>
      </w:pPr>
      <w:r>
        <w:rPr>
          <w:szCs w:val="28"/>
        </w:rPr>
        <w:t>No performance indicators were due for completion in Quarter 1.</w:t>
      </w:r>
    </w:p>
    <w:p w:rsidR="00386208" w:rsidRDefault="00386208" w:rsidP="00386208">
      <w:pPr>
        <w:spacing w:before="0" w:after="160" w:line="259" w:lineRule="auto"/>
        <w:rPr>
          <w:b/>
        </w:rPr>
      </w:pPr>
    </w:p>
    <w:p w:rsidR="00386208" w:rsidRDefault="00386208">
      <w:pPr>
        <w:spacing w:before="0" w:after="160" w:line="259" w:lineRule="auto"/>
        <w:rPr>
          <w:b/>
        </w:rPr>
      </w:pPr>
      <w:r>
        <w:rPr>
          <w:b/>
        </w:rPr>
        <w:br w:type="page"/>
      </w:r>
    </w:p>
    <w:p w:rsidR="002971D8" w:rsidRPr="004C72BE" w:rsidRDefault="005274CB" w:rsidP="00386208">
      <w:pPr>
        <w:spacing w:before="0" w:after="160" w:line="259" w:lineRule="auto"/>
        <w:rPr>
          <w:b/>
        </w:rPr>
      </w:pPr>
      <w:r w:rsidRPr="003A5504">
        <w:rPr>
          <w:b/>
        </w:rPr>
        <w:lastRenderedPageBreak/>
        <w:t>Issues affecting delivery</w:t>
      </w:r>
      <w:r w:rsidR="00776A5C">
        <w:rPr>
          <w:b/>
        </w:rPr>
        <w:t xml:space="preserve"> in Q1</w:t>
      </w:r>
    </w:p>
    <w:p w:rsidR="004C72BE" w:rsidRDefault="004C72BE" w:rsidP="00E04B83">
      <w:pPr>
        <w:spacing w:beforeLines="20" w:before="48" w:after="0" w:line="276" w:lineRule="auto"/>
      </w:pPr>
      <w:r>
        <w:rPr>
          <w:noProof/>
        </w:rPr>
        <w:drawing>
          <wp:inline distT="0" distB="0" distL="0" distR="0" wp14:anchorId="63979EFF" wp14:editId="22485C9C">
            <wp:extent cx="51054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86208" w:rsidRDefault="00386208" w:rsidP="00386208">
      <w:pPr>
        <w:spacing w:beforeLines="20" w:before="48" w:after="0" w:line="276" w:lineRule="auto"/>
        <w:rPr>
          <w:iCs/>
        </w:rPr>
      </w:pPr>
    </w:p>
    <w:p w:rsidR="00CA17DA" w:rsidRPr="00386208" w:rsidRDefault="00386208" w:rsidP="00386208">
      <w:pPr>
        <w:spacing w:beforeLines="20" w:before="48" w:after="0" w:line="276" w:lineRule="auto"/>
        <w:rPr>
          <w:iCs/>
        </w:rPr>
      </w:pPr>
      <w:r w:rsidRPr="00386208">
        <w:rPr>
          <w:iCs/>
        </w:rPr>
        <w:t xml:space="preserve">The vast majority of outputs are proceeding as planned (i.e. no issues or not due to start this quarter).  </w:t>
      </w:r>
      <w:r w:rsidR="00CA17DA" w:rsidRPr="00386208">
        <w:rPr>
          <w:iCs/>
        </w:rPr>
        <w:t xml:space="preserve">The </w:t>
      </w:r>
      <w:r w:rsidRPr="00386208">
        <w:rPr>
          <w:iCs/>
        </w:rPr>
        <w:t>non-reporting</w:t>
      </w:r>
      <w:r w:rsidR="00CA17DA" w:rsidRPr="00386208">
        <w:rPr>
          <w:iCs/>
        </w:rPr>
        <w:t xml:space="preserve"> challenge</w:t>
      </w:r>
      <w:r w:rsidRPr="00386208">
        <w:rPr>
          <w:iCs/>
        </w:rPr>
        <w:t>,</w:t>
      </w:r>
      <w:r w:rsidR="00CA17DA" w:rsidRPr="00386208">
        <w:rPr>
          <w:iCs/>
        </w:rPr>
        <w:t xml:space="preserve"> though small</w:t>
      </w:r>
      <w:r w:rsidRPr="00386208">
        <w:rPr>
          <w:iCs/>
        </w:rPr>
        <w:t>,</w:t>
      </w:r>
      <w:r w:rsidR="00CA17DA" w:rsidRPr="00386208">
        <w:rPr>
          <w:iCs/>
        </w:rPr>
        <w:t xml:space="preserve"> will be addressed </w:t>
      </w:r>
      <w:r w:rsidRPr="00386208">
        <w:rPr>
          <w:iCs/>
        </w:rPr>
        <w:t>for Q2</w:t>
      </w:r>
      <w:r w:rsidR="00CA17DA" w:rsidRPr="00386208">
        <w:rPr>
          <w:iCs/>
        </w:rPr>
        <w:t>.   </w:t>
      </w:r>
    </w:p>
    <w:p w:rsidR="00CA17DA" w:rsidRDefault="00CA17DA" w:rsidP="00E04B83">
      <w:pPr>
        <w:spacing w:beforeLines="20" w:before="48" w:after="0" w:line="276" w:lineRule="auto"/>
        <w:rPr>
          <w:b/>
        </w:rPr>
      </w:pPr>
    </w:p>
    <w:p w:rsidR="001E10CB" w:rsidRPr="00DE4249" w:rsidRDefault="002971D8" w:rsidP="00E04B83">
      <w:pPr>
        <w:spacing w:beforeLines="20" w:before="48" w:after="0" w:line="276" w:lineRule="auto"/>
        <w:rPr>
          <w:b/>
        </w:rPr>
      </w:pPr>
      <w:r w:rsidRPr="003A5504">
        <w:rPr>
          <w:b/>
        </w:rPr>
        <w:t>Financial data</w:t>
      </w:r>
    </w:p>
    <w:p w:rsidR="00DE4249" w:rsidRPr="001E10CB" w:rsidRDefault="00DE4249" w:rsidP="00E04B83">
      <w:pPr>
        <w:spacing w:beforeLines="20" w:before="48" w:after="0" w:line="276" w:lineRule="auto"/>
      </w:pPr>
      <w:r>
        <w:rPr>
          <w:noProof/>
        </w:rPr>
        <w:drawing>
          <wp:inline distT="0" distB="0" distL="0" distR="0" wp14:anchorId="22CF12A3" wp14:editId="4BD1F8BF">
            <wp:extent cx="5128260" cy="2743200"/>
            <wp:effectExtent l="0" t="0" r="152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86208" w:rsidRDefault="00386208" w:rsidP="00E04B83">
      <w:pPr>
        <w:spacing w:beforeLines="20" w:before="48" w:after="0" w:line="276" w:lineRule="auto"/>
        <w:rPr>
          <w:b/>
        </w:rPr>
      </w:pPr>
    </w:p>
    <w:p w:rsidR="00386208" w:rsidRDefault="00386208">
      <w:pPr>
        <w:spacing w:before="0" w:after="160" w:line="259" w:lineRule="auto"/>
        <w:rPr>
          <w:b/>
        </w:rPr>
      </w:pPr>
      <w:r>
        <w:rPr>
          <w:b/>
        </w:rPr>
        <w:br w:type="page"/>
      </w:r>
    </w:p>
    <w:p w:rsidR="00776A5C" w:rsidRPr="00564528" w:rsidRDefault="002971D8" w:rsidP="00E04B83">
      <w:pPr>
        <w:spacing w:beforeLines="20" w:before="48" w:after="0" w:line="276" w:lineRule="auto"/>
        <w:rPr>
          <w:b/>
        </w:rPr>
      </w:pPr>
      <w:r>
        <w:rPr>
          <w:b/>
        </w:rPr>
        <w:lastRenderedPageBreak/>
        <w:t>Staff time data</w:t>
      </w:r>
    </w:p>
    <w:p w:rsidR="00663A1A" w:rsidRDefault="00574425" w:rsidP="00E04B83">
      <w:pPr>
        <w:spacing w:beforeLines="20" w:before="48" w:after="0" w:line="276" w:lineRule="auto"/>
      </w:pPr>
      <w:r>
        <w:rPr>
          <w:noProof/>
        </w:rPr>
        <w:drawing>
          <wp:inline distT="0" distB="0" distL="0" distR="0" wp14:anchorId="72ACF4BF" wp14:editId="2BFB2BB7">
            <wp:extent cx="5274310" cy="2574290"/>
            <wp:effectExtent l="0" t="0" r="2540"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63A1A" w:rsidRDefault="00574425" w:rsidP="00E04B83">
      <w:pPr>
        <w:spacing w:beforeLines="20" w:before="48" w:after="0" w:line="276" w:lineRule="auto"/>
      </w:pPr>
      <w:r>
        <w:rPr>
          <w:noProof/>
        </w:rPr>
        <w:drawing>
          <wp:inline distT="0" distB="0" distL="0" distR="0" wp14:anchorId="2F86255C" wp14:editId="302B4770">
            <wp:extent cx="5265420" cy="2654300"/>
            <wp:effectExtent l="0" t="0" r="1143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42E65" w:rsidRPr="001636E1" w:rsidRDefault="00442E65" w:rsidP="00E04B83">
      <w:pPr>
        <w:spacing w:beforeLines="20" w:before="48" w:after="0" w:line="276" w:lineRule="auto"/>
      </w:pPr>
    </w:p>
    <w:p w:rsidR="00CA17DA" w:rsidRPr="003D5EC9" w:rsidRDefault="00CA17DA" w:rsidP="00CA17DA">
      <w:pPr>
        <w:spacing w:beforeLines="20" w:before="48" w:after="0" w:line="276" w:lineRule="auto"/>
        <w:rPr>
          <w:b/>
        </w:rPr>
      </w:pPr>
      <w:r w:rsidRPr="003D5EC9">
        <w:rPr>
          <w:b/>
        </w:rPr>
        <w:t>Coming up in Quarter 2</w:t>
      </w:r>
    </w:p>
    <w:p w:rsidR="00386208" w:rsidRPr="00386208" w:rsidRDefault="00386208" w:rsidP="00265D9C">
      <w:pPr>
        <w:pStyle w:val="NormalWeb"/>
        <w:numPr>
          <w:ilvl w:val="0"/>
          <w:numId w:val="16"/>
        </w:numPr>
        <w:spacing w:beforeLines="20" w:before="48" w:line="276" w:lineRule="auto"/>
        <w:rPr>
          <w:color w:val="000000"/>
        </w:rPr>
      </w:pPr>
      <w:r>
        <w:rPr>
          <w:rFonts w:ascii="Arial" w:hAnsi="Arial" w:cs="Arial"/>
          <w:color w:val="000000"/>
        </w:rPr>
        <w:t>We will publish our response to the PHS legal consultation.</w:t>
      </w:r>
    </w:p>
    <w:p w:rsidR="00386208" w:rsidRPr="00386208" w:rsidRDefault="00386208" w:rsidP="00386208">
      <w:pPr>
        <w:pStyle w:val="NormalWeb"/>
        <w:numPr>
          <w:ilvl w:val="0"/>
          <w:numId w:val="16"/>
        </w:numPr>
        <w:spacing w:beforeLines="20" w:before="48" w:line="276" w:lineRule="auto"/>
        <w:rPr>
          <w:color w:val="000000"/>
        </w:rPr>
      </w:pPr>
      <w:r>
        <w:rPr>
          <w:rFonts w:ascii="Arial" w:hAnsi="Arial" w:cs="Arial"/>
          <w:color w:val="000000"/>
        </w:rPr>
        <w:t xml:space="preserve">The </w:t>
      </w:r>
      <w:r w:rsidR="00265D9C" w:rsidRPr="00386208">
        <w:rPr>
          <w:rFonts w:ascii="Arial" w:hAnsi="Arial" w:cs="Arial"/>
          <w:color w:val="000000"/>
        </w:rPr>
        <w:t xml:space="preserve">formal TUPE consultation </w:t>
      </w:r>
      <w:r>
        <w:rPr>
          <w:rFonts w:ascii="Arial" w:hAnsi="Arial" w:cs="Arial"/>
          <w:color w:val="000000"/>
        </w:rPr>
        <w:t>will launch and run for 45 days.</w:t>
      </w:r>
    </w:p>
    <w:p w:rsidR="00265D9C" w:rsidRPr="00386208" w:rsidRDefault="00386208" w:rsidP="00386208">
      <w:pPr>
        <w:pStyle w:val="NormalWeb"/>
        <w:numPr>
          <w:ilvl w:val="0"/>
          <w:numId w:val="16"/>
        </w:numPr>
        <w:spacing w:beforeLines="20" w:before="48" w:line="276" w:lineRule="auto"/>
        <w:rPr>
          <w:color w:val="000000"/>
        </w:rPr>
      </w:pPr>
      <w:r>
        <w:rPr>
          <w:rFonts w:ascii="Arial" w:hAnsi="Arial" w:cs="Arial"/>
          <w:color w:val="000000"/>
        </w:rPr>
        <w:t xml:space="preserve">We will engage the staff in NHS Health Scotland, Health Protection Scotland and Information Services Division on what they need from the new PHS intranet.  </w:t>
      </w:r>
    </w:p>
    <w:p w:rsidR="00CA17DA" w:rsidRPr="00386208" w:rsidRDefault="00386208" w:rsidP="00386208">
      <w:pPr>
        <w:pStyle w:val="NormalWeb"/>
        <w:numPr>
          <w:ilvl w:val="0"/>
          <w:numId w:val="16"/>
        </w:numPr>
        <w:spacing w:beforeLines="20" w:before="48" w:line="276" w:lineRule="auto"/>
        <w:rPr>
          <w:rFonts w:ascii="Arial" w:hAnsi="Arial" w:cs="Arial"/>
          <w:color w:val="000000"/>
        </w:rPr>
      </w:pPr>
      <w:r w:rsidRPr="00386208">
        <w:rPr>
          <w:rFonts w:ascii="Arial" w:hAnsi="Arial" w:cs="Arial"/>
          <w:color w:val="000000"/>
        </w:rPr>
        <w:t xml:space="preserve">We will present the </w:t>
      </w:r>
      <w:r>
        <w:rPr>
          <w:rFonts w:ascii="Arial" w:hAnsi="Arial" w:cs="Arial"/>
          <w:color w:val="000000"/>
        </w:rPr>
        <w:t>report a</w:t>
      </w:r>
      <w:r w:rsidRPr="00386208">
        <w:rPr>
          <w:rFonts w:ascii="Arial" w:hAnsi="Arial" w:cs="Arial"/>
          <w:color w:val="000000"/>
        </w:rPr>
        <w:t>rticulating the contribution we have made to improving health and reducing health inequalities over the last 17 years</w:t>
      </w:r>
      <w:r>
        <w:rPr>
          <w:rFonts w:ascii="Arial" w:hAnsi="Arial" w:cs="Arial"/>
          <w:color w:val="000000"/>
        </w:rPr>
        <w:t xml:space="preserve"> to the Minister for Public Health at our Board meeting on 27 September.  </w:t>
      </w:r>
    </w:p>
    <w:p w:rsidR="00CA17DA" w:rsidRPr="00386208" w:rsidRDefault="00CA17DA" w:rsidP="00386208">
      <w:pPr>
        <w:pStyle w:val="NormalWeb"/>
        <w:spacing w:beforeLines="20" w:before="48" w:line="276" w:lineRule="auto"/>
        <w:ind w:left="360"/>
        <w:rPr>
          <w:rFonts w:ascii="Arial" w:hAnsi="Arial" w:cs="Arial"/>
          <w:color w:val="000000"/>
        </w:rPr>
      </w:pPr>
    </w:p>
    <w:p w:rsidR="00776A5C" w:rsidRDefault="00776A5C" w:rsidP="00E04B83">
      <w:pPr>
        <w:pStyle w:val="Bhead"/>
        <w:spacing w:beforeLines="20" w:before="48" w:after="0" w:line="276" w:lineRule="auto"/>
      </w:pPr>
    </w:p>
    <w:p w:rsidR="00776A5C" w:rsidRDefault="00776A5C" w:rsidP="00E04B83">
      <w:pPr>
        <w:pStyle w:val="Bhead"/>
        <w:spacing w:beforeLines="20" w:before="48" w:after="0" w:line="276" w:lineRule="auto"/>
      </w:pPr>
    </w:p>
    <w:p w:rsidR="00CC156E" w:rsidRDefault="00CC156E" w:rsidP="00CC156E">
      <w:pPr>
        <w:pStyle w:val="Ahead"/>
        <w:spacing w:beforeLines="20" w:before="48" w:after="0" w:line="276" w:lineRule="auto"/>
      </w:pPr>
      <w:bookmarkStart w:id="9" w:name="_Toc18312841"/>
      <w:r>
        <w:lastRenderedPageBreak/>
        <w:t xml:space="preserve">Part </w:t>
      </w:r>
      <w:r w:rsidR="00744A4E">
        <w:t>3</w:t>
      </w:r>
      <w:r>
        <w:t>: Core Services</w:t>
      </w:r>
      <w:r w:rsidR="00374914">
        <w:t xml:space="preserve"> Update</w:t>
      </w:r>
      <w:bookmarkEnd w:id="9"/>
    </w:p>
    <w:p w:rsidR="00CC156E" w:rsidRDefault="00CC156E" w:rsidP="00CC156E">
      <w:pPr>
        <w:pStyle w:val="Chead"/>
        <w:spacing w:beforeLines="20" w:before="48" w:after="0" w:line="276" w:lineRule="auto"/>
      </w:pPr>
    </w:p>
    <w:p w:rsidR="00CC156E" w:rsidRPr="003D5EC9" w:rsidRDefault="00CC156E" w:rsidP="00CC156E">
      <w:pPr>
        <w:pStyle w:val="Chead"/>
        <w:spacing w:beforeLines="20" w:before="48" w:after="0" w:line="276" w:lineRule="auto"/>
        <w:rPr>
          <w:sz w:val="24"/>
        </w:rPr>
      </w:pPr>
      <w:r w:rsidRPr="003D5EC9">
        <w:rPr>
          <w:sz w:val="24"/>
        </w:rPr>
        <w:t>Highlights from Quarter 1</w:t>
      </w:r>
    </w:p>
    <w:p w:rsidR="00344EB9" w:rsidRDefault="00344EB9" w:rsidP="00344EB9">
      <w:pPr>
        <w:spacing w:before="20" w:after="0" w:line="276" w:lineRule="auto"/>
      </w:pPr>
      <w:r>
        <w:t>We worked with the corporate services team in NHS National Services Scotland to develop arrangements for submitting joint responses to consultations and calls for evidence “in the spirit of Public Health Scotland”.  We have agreed that responses should be joint between NHS Health Scotland, Health Protection Scotland and Information Services Division wherever appropriate and practicable.  The first of these joint submissions was a real success (see SP1 Highlights) in terms of close working between the subject specialists in the three bodies, in terms of agreement of the combined content and smooth sign off, and in terms of outcome in that it resulted in an invitation to give oral evidence at Westminster.</w:t>
      </w:r>
      <w:r w:rsidR="00C318D7">
        <w:t xml:space="preserve">  Once the report of the inquiry has been published, we will analyse it to establish the impact of our written and oral evidence.</w:t>
      </w:r>
    </w:p>
    <w:p w:rsidR="00344EB9" w:rsidRDefault="00344EB9" w:rsidP="00265D9C">
      <w:pPr>
        <w:spacing w:beforeLines="20" w:before="48" w:after="0" w:line="276" w:lineRule="auto"/>
        <w:rPr>
          <w:color w:val="000000"/>
          <w:lang w:val="en-US"/>
        </w:rPr>
      </w:pPr>
    </w:p>
    <w:p w:rsidR="00265D9C" w:rsidRDefault="00F21B53" w:rsidP="00265D9C">
      <w:pPr>
        <w:spacing w:beforeLines="20" w:before="48" w:after="0" w:line="276" w:lineRule="auto"/>
        <w:rPr>
          <w:color w:val="000000"/>
          <w:lang w:val="en-US"/>
        </w:rPr>
      </w:pPr>
      <w:r>
        <w:rPr>
          <w:color w:val="000000"/>
          <w:lang w:val="en-US"/>
        </w:rPr>
        <w:t xml:space="preserve">We have been able to </w:t>
      </w:r>
      <w:r w:rsidRPr="006928F6">
        <w:rPr>
          <w:color w:val="000000"/>
          <w:lang w:val="en-US"/>
        </w:rPr>
        <w:t>releas</w:t>
      </w:r>
      <w:r>
        <w:rPr>
          <w:color w:val="000000"/>
          <w:lang w:val="en-US"/>
        </w:rPr>
        <w:t xml:space="preserve">e a further £384k for project work in </w:t>
      </w:r>
      <w:r w:rsidRPr="006928F6">
        <w:rPr>
          <w:color w:val="000000"/>
          <w:lang w:val="en-US"/>
        </w:rPr>
        <w:t>2019/20</w:t>
      </w:r>
      <w:r w:rsidR="00C318D7">
        <w:rPr>
          <w:color w:val="000000"/>
          <w:lang w:val="en-US"/>
        </w:rPr>
        <w:t xml:space="preserve"> as a result of an </w:t>
      </w:r>
      <w:r w:rsidR="00265D9C" w:rsidRPr="006928F6">
        <w:rPr>
          <w:color w:val="000000"/>
          <w:lang w:val="en-US"/>
        </w:rPr>
        <w:t>unplanned but forecasted addition</w:t>
      </w:r>
      <w:r w:rsidR="00C318D7">
        <w:rPr>
          <w:color w:val="000000"/>
          <w:lang w:val="en-US"/>
        </w:rPr>
        <w:t xml:space="preserve">al staff vacancy target of 2.5% </w:t>
      </w:r>
      <w:r w:rsidR="00265D9C">
        <w:rPr>
          <w:color w:val="000000"/>
          <w:lang w:val="en-US"/>
        </w:rPr>
        <w:t>(see section 8: Financial Report)</w:t>
      </w:r>
      <w:r w:rsidR="00265D9C" w:rsidRPr="006928F6">
        <w:rPr>
          <w:color w:val="000000"/>
          <w:lang w:val="en-US"/>
        </w:rPr>
        <w:t>.</w:t>
      </w:r>
    </w:p>
    <w:p w:rsidR="00C318D7" w:rsidRDefault="00C318D7" w:rsidP="00265D9C">
      <w:pPr>
        <w:spacing w:beforeLines="20" w:before="48" w:after="0" w:line="276" w:lineRule="auto"/>
        <w:rPr>
          <w:color w:val="000000"/>
          <w:lang w:val="en-US"/>
        </w:rPr>
      </w:pPr>
    </w:p>
    <w:p w:rsidR="005B192E" w:rsidRDefault="005B192E" w:rsidP="00265D9C">
      <w:pPr>
        <w:spacing w:beforeLines="20" w:before="48" w:after="0" w:line="276" w:lineRule="auto"/>
        <w:rPr>
          <w:color w:val="000000"/>
          <w:lang w:val="en-US"/>
        </w:rPr>
      </w:pPr>
      <w:r>
        <w:rPr>
          <w:color w:val="000000"/>
          <w:lang w:val="en-US"/>
        </w:rPr>
        <w:t xml:space="preserve">We continue to </w:t>
      </w:r>
      <w:r w:rsidRPr="005B192E">
        <w:rPr>
          <w:color w:val="000000"/>
          <w:lang w:val="en-US"/>
        </w:rPr>
        <w:t xml:space="preserve">use a range of digital, marketing, communications and engagement methods to promote and position </w:t>
      </w:r>
      <w:r>
        <w:rPr>
          <w:color w:val="000000"/>
          <w:lang w:val="en-US"/>
        </w:rPr>
        <w:t xml:space="preserve">our work.  Highlights of our proactive work this quarter the coverage achieved following the publication of the annual MESAS monitoring </w:t>
      </w:r>
      <w:hyperlink r:id="rId51" w:history="1">
        <w:r w:rsidRPr="005B192E">
          <w:rPr>
            <w:rStyle w:val="Hyperlink"/>
            <w:noProof w:val="0"/>
            <w:lang w:val="en-US"/>
          </w:rPr>
          <w:t>report</w:t>
        </w:r>
      </w:hyperlink>
      <w:r>
        <w:rPr>
          <w:color w:val="000000"/>
          <w:lang w:val="en-US"/>
        </w:rPr>
        <w:t xml:space="preserve">, and the significant social media traction around the international </w:t>
      </w:r>
      <w:r w:rsidRPr="005B192E">
        <w:rPr>
          <w:color w:val="000000"/>
          <w:lang w:val="en-US"/>
        </w:rPr>
        <w:t>conference on place and the Place Standard in partnership with the</w:t>
      </w:r>
      <w:r>
        <w:rPr>
          <w:color w:val="000000"/>
          <w:lang w:val="en-US"/>
        </w:rPr>
        <w:t xml:space="preserve"> WHO Regional Office for Europe (see Strategic Priority 4 Highlights).  We are also developing a strategic communications plan around the adverse mortality trends, which involves close working with our sponsor team in government and with the Scottish Government communications team.</w:t>
      </w:r>
    </w:p>
    <w:p w:rsidR="005B192E" w:rsidRDefault="005B192E" w:rsidP="00265D9C">
      <w:pPr>
        <w:spacing w:beforeLines="20" w:before="48" w:after="0" w:line="276" w:lineRule="auto"/>
        <w:rPr>
          <w:color w:val="000000"/>
          <w:lang w:val="en-US"/>
        </w:rPr>
      </w:pPr>
    </w:p>
    <w:p w:rsidR="005B192E" w:rsidRDefault="005B192E" w:rsidP="00265D9C">
      <w:pPr>
        <w:spacing w:beforeLines="20" w:before="48" w:after="0" w:line="276" w:lineRule="auto"/>
        <w:rPr>
          <w:color w:val="000000"/>
          <w:lang w:val="en-US"/>
        </w:rPr>
      </w:pPr>
    </w:p>
    <w:p w:rsidR="00CC156E" w:rsidRDefault="00CC156E" w:rsidP="00CC156E"/>
    <w:p w:rsidR="00265D9C" w:rsidRDefault="00265D9C" w:rsidP="00CC156E"/>
    <w:p w:rsidR="00265D9C" w:rsidRDefault="00265D9C" w:rsidP="00265D9C"/>
    <w:p w:rsidR="00265D9C" w:rsidRPr="00CC156E" w:rsidRDefault="00265D9C" w:rsidP="00CC156E">
      <w:pPr>
        <w:sectPr w:rsidR="00265D9C" w:rsidRPr="00CC156E" w:rsidSect="00655D53">
          <w:pgSz w:w="11906" w:h="16838"/>
          <w:pgMar w:top="1440" w:right="1800" w:bottom="1440" w:left="1800" w:header="708" w:footer="708" w:gutter="0"/>
          <w:cols w:space="708"/>
          <w:docGrid w:linePitch="360"/>
        </w:sectPr>
      </w:pPr>
    </w:p>
    <w:p w:rsidR="003C57D6" w:rsidRPr="00CC156E" w:rsidRDefault="003C57D6" w:rsidP="00E04B83">
      <w:pPr>
        <w:pStyle w:val="Chead"/>
        <w:spacing w:beforeLines="20" w:before="48" w:after="0" w:line="276" w:lineRule="auto"/>
        <w:rPr>
          <w:sz w:val="24"/>
        </w:rPr>
      </w:pPr>
      <w:r w:rsidRPr="00CC156E">
        <w:rPr>
          <w:sz w:val="24"/>
        </w:rPr>
        <w:lastRenderedPageBreak/>
        <w:t xml:space="preserve">Performance </w:t>
      </w:r>
      <w:r w:rsidR="00F40641" w:rsidRPr="00CC156E">
        <w:rPr>
          <w:sz w:val="24"/>
        </w:rPr>
        <w:t>Information: Quarter 1</w:t>
      </w:r>
    </w:p>
    <w:p w:rsidR="003C57D6" w:rsidRDefault="003C57D6" w:rsidP="00E04B83">
      <w:pPr>
        <w:spacing w:beforeLines="20" w:before="48" w:after="0" w:line="276" w:lineRule="auto"/>
      </w:pPr>
      <w:r>
        <w:t xml:space="preserve">The following table details the Performance Indicators that were due for completion this quarter and provides a narrative for each. </w:t>
      </w:r>
    </w:p>
    <w:p w:rsidR="003C57D6" w:rsidRDefault="003C57D6" w:rsidP="00E04B83">
      <w:pPr>
        <w:spacing w:beforeLines="20" w:before="48" w:after="0" w:line="276" w:lineRule="auto"/>
      </w:pPr>
    </w:p>
    <w:tbl>
      <w:tblPr>
        <w:tblStyle w:val="TableGrid"/>
        <w:tblW w:w="14170" w:type="dxa"/>
        <w:tblLayout w:type="fixed"/>
        <w:tblLook w:val="04A0" w:firstRow="1" w:lastRow="0" w:firstColumn="1" w:lastColumn="0" w:noHBand="0" w:noVBand="1"/>
      </w:tblPr>
      <w:tblGrid>
        <w:gridCol w:w="4673"/>
        <w:gridCol w:w="3686"/>
        <w:gridCol w:w="1134"/>
        <w:gridCol w:w="4677"/>
      </w:tblGrid>
      <w:tr w:rsidR="003C57D6" w:rsidRPr="004E4D1B" w:rsidTr="00655D53">
        <w:tc>
          <w:tcPr>
            <w:tcW w:w="4673" w:type="dxa"/>
          </w:tcPr>
          <w:p w:rsidR="003C57D6" w:rsidRPr="004E4D1B" w:rsidRDefault="003C57D6" w:rsidP="00E04B83">
            <w:pPr>
              <w:spacing w:beforeLines="20" w:before="48" w:after="0" w:line="276" w:lineRule="auto"/>
              <w:rPr>
                <w:b/>
                <w:color w:val="000000"/>
              </w:rPr>
            </w:pPr>
            <w:r w:rsidRPr="004E4D1B">
              <w:rPr>
                <w:b/>
                <w:color w:val="000000"/>
              </w:rPr>
              <w:t>Delivery Commitment</w:t>
            </w:r>
          </w:p>
        </w:tc>
        <w:tc>
          <w:tcPr>
            <w:tcW w:w="3686" w:type="dxa"/>
          </w:tcPr>
          <w:p w:rsidR="003C57D6" w:rsidRPr="004E4D1B" w:rsidRDefault="003C57D6" w:rsidP="00E04B83">
            <w:pPr>
              <w:spacing w:beforeLines="20" w:before="48" w:after="0" w:line="276" w:lineRule="auto"/>
              <w:rPr>
                <w:b/>
                <w:bCs/>
              </w:rPr>
            </w:pPr>
            <w:r w:rsidRPr="004E4D1B">
              <w:rPr>
                <w:b/>
                <w:bCs/>
              </w:rPr>
              <w:t>Performance Indicator</w:t>
            </w:r>
          </w:p>
        </w:tc>
        <w:tc>
          <w:tcPr>
            <w:tcW w:w="1134" w:type="dxa"/>
          </w:tcPr>
          <w:p w:rsidR="003C57D6" w:rsidRPr="004E4D1B" w:rsidRDefault="003C57D6" w:rsidP="00E04B83">
            <w:pPr>
              <w:spacing w:beforeLines="20" w:before="48" w:after="0" w:line="276" w:lineRule="auto"/>
              <w:rPr>
                <w:b/>
                <w:color w:val="FF0000"/>
              </w:rPr>
            </w:pPr>
            <w:r>
              <w:rPr>
                <w:b/>
              </w:rPr>
              <w:t>Y/N</w:t>
            </w:r>
          </w:p>
        </w:tc>
        <w:tc>
          <w:tcPr>
            <w:tcW w:w="4677" w:type="dxa"/>
          </w:tcPr>
          <w:p w:rsidR="003C57D6" w:rsidRPr="004E4D1B" w:rsidRDefault="003C57D6" w:rsidP="00E04B83">
            <w:pPr>
              <w:spacing w:beforeLines="20" w:before="48" w:after="0" w:line="276" w:lineRule="auto"/>
              <w:rPr>
                <w:b/>
                <w:color w:val="000000"/>
              </w:rPr>
            </w:pPr>
            <w:r w:rsidRPr="004E4D1B">
              <w:rPr>
                <w:b/>
                <w:color w:val="000000"/>
              </w:rPr>
              <w:t>Comment</w:t>
            </w:r>
          </w:p>
        </w:tc>
      </w:tr>
      <w:tr w:rsidR="009C6545" w:rsidRPr="003738D2" w:rsidTr="00655D53">
        <w:tc>
          <w:tcPr>
            <w:tcW w:w="4673" w:type="dxa"/>
          </w:tcPr>
          <w:p w:rsidR="009C6545" w:rsidRPr="003738D2" w:rsidRDefault="00F40641" w:rsidP="00E04B83">
            <w:pPr>
              <w:spacing w:beforeLines="20" w:before="48" w:after="0" w:line="276" w:lineRule="auto"/>
              <w:rPr>
                <w:bCs/>
              </w:rPr>
            </w:pPr>
            <w:r w:rsidRPr="00C56B20">
              <w:t>9.1.3 Planning and delivery: deliver specific improvements in how we plan so that our delivery and impact is improved</w:t>
            </w:r>
          </w:p>
        </w:tc>
        <w:tc>
          <w:tcPr>
            <w:tcW w:w="3686" w:type="dxa"/>
          </w:tcPr>
          <w:p w:rsidR="009C6545" w:rsidRPr="003738D2" w:rsidRDefault="00F40641" w:rsidP="00E04B83">
            <w:pPr>
              <w:spacing w:beforeLines="20" w:before="48" w:after="0" w:line="276" w:lineRule="auto"/>
              <w:rPr>
                <w:bCs/>
              </w:rPr>
            </w:pPr>
            <w:r w:rsidRPr="00C56B20">
              <w:t>We have enhanced the reporting of the impact of stakeholder engagement through the quarterly performance reports</w:t>
            </w:r>
            <w:r w:rsidR="00CC156E">
              <w:t>.</w:t>
            </w:r>
          </w:p>
        </w:tc>
        <w:tc>
          <w:tcPr>
            <w:tcW w:w="1134" w:type="dxa"/>
          </w:tcPr>
          <w:p w:rsidR="009C6545" w:rsidRPr="003738D2" w:rsidRDefault="00F40641" w:rsidP="00E04B83">
            <w:pPr>
              <w:spacing w:beforeLines="20" w:before="48" w:after="0" w:line="276" w:lineRule="auto"/>
              <w:rPr>
                <w:b/>
              </w:rPr>
            </w:pPr>
            <w:r w:rsidRPr="00CC156E">
              <w:rPr>
                <w:b/>
                <w:color w:val="00B050"/>
              </w:rPr>
              <w:t>Yes</w:t>
            </w:r>
          </w:p>
        </w:tc>
        <w:tc>
          <w:tcPr>
            <w:tcW w:w="4677" w:type="dxa"/>
          </w:tcPr>
          <w:p w:rsidR="009C6545" w:rsidRPr="00F40641" w:rsidRDefault="00F40641" w:rsidP="00E04B83">
            <w:pPr>
              <w:pStyle w:val="BodyText1"/>
              <w:spacing w:beforeLines="20" w:before="48" w:line="276" w:lineRule="auto"/>
              <w:rPr>
                <w:color w:val="000000"/>
              </w:rPr>
            </w:pPr>
            <w:r>
              <w:rPr>
                <w:color w:val="000000"/>
              </w:rPr>
              <w:t>We now provide a narrative in quarterly reports focussing on the outcome we have achieved and the part played by collaboration with stakeholders</w:t>
            </w:r>
            <w:r w:rsidR="00CC156E">
              <w:rPr>
                <w:color w:val="000000"/>
              </w:rPr>
              <w:t>.</w:t>
            </w:r>
          </w:p>
        </w:tc>
      </w:tr>
      <w:tr w:rsidR="00F40641" w:rsidRPr="003738D2" w:rsidTr="00F40641">
        <w:trPr>
          <w:trHeight w:val="528"/>
        </w:trPr>
        <w:tc>
          <w:tcPr>
            <w:tcW w:w="4673" w:type="dxa"/>
          </w:tcPr>
          <w:p w:rsidR="00F40641" w:rsidRPr="003738D2" w:rsidRDefault="00F40641" w:rsidP="00E04B83">
            <w:pPr>
              <w:spacing w:beforeLines="20" w:before="48" w:after="0" w:line="276" w:lineRule="auto"/>
              <w:rPr>
                <w:bCs/>
              </w:rPr>
            </w:pPr>
            <w:r w:rsidRPr="00C56B20">
              <w:t>9.1.7 Finance and procurement: provide the financial resources and services required to support the organisation to achieve our Delivery Plan and meet audit standards</w:t>
            </w:r>
          </w:p>
        </w:tc>
        <w:tc>
          <w:tcPr>
            <w:tcW w:w="3686" w:type="dxa"/>
          </w:tcPr>
          <w:p w:rsidR="00F40641" w:rsidRPr="003738D2" w:rsidRDefault="00F40641" w:rsidP="00E04B83">
            <w:pPr>
              <w:spacing w:beforeLines="20" w:before="48" w:after="0" w:line="276" w:lineRule="auto"/>
              <w:rPr>
                <w:bCs/>
              </w:rPr>
            </w:pPr>
            <w:r w:rsidRPr="00C56B20">
              <w:t>Budgets for 2019/20 are agreed and input to the Corporate Planning Tool</w:t>
            </w:r>
            <w:r w:rsidR="00CC156E">
              <w:t>.</w:t>
            </w:r>
          </w:p>
        </w:tc>
        <w:tc>
          <w:tcPr>
            <w:tcW w:w="1134" w:type="dxa"/>
          </w:tcPr>
          <w:p w:rsidR="00F40641" w:rsidRPr="003738D2" w:rsidRDefault="00F40641" w:rsidP="00E04B83">
            <w:pPr>
              <w:spacing w:beforeLines="20" w:before="48" w:after="0" w:line="276" w:lineRule="auto"/>
              <w:rPr>
                <w:b/>
              </w:rPr>
            </w:pPr>
            <w:r w:rsidRPr="00CC156E">
              <w:rPr>
                <w:b/>
                <w:color w:val="00B050"/>
              </w:rPr>
              <w:t>Yes</w:t>
            </w:r>
          </w:p>
        </w:tc>
        <w:tc>
          <w:tcPr>
            <w:tcW w:w="4677" w:type="dxa"/>
          </w:tcPr>
          <w:p w:rsidR="00F40641" w:rsidRPr="00CC156E" w:rsidRDefault="00CC156E" w:rsidP="00CC156E">
            <w:pPr>
              <w:spacing w:beforeLines="20" w:before="48" w:after="0" w:line="276" w:lineRule="auto"/>
              <w:rPr>
                <w:color w:val="000000"/>
                <w:lang w:val="en-US"/>
              </w:rPr>
            </w:pPr>
            <w:r>
              <w:rPr>
                <w:color w:val="000000"/>
                <w:lang w:val="en-US"/>
              </w:rPr>
              <w:t>B</w:t>
            </w:r>
            <w:r w:rsidR="00F40641" w:rsidRPr="006928F6">
              <w:rPr>
                <w:color w:val="000000"/>
                <w:lang w:val="en-US"/>
              </w:rPr>
              <w:t xml:space="preserve">udgets for 2019/20 </w:t>
            </w:r>
            <w:r>
              <w:rPr>
                <w:color w:val="000000"/>
                <w:lang w:val="en-US"/>
              </w:rPr>
              <w:t xml:space="preserve">have been </w:t>
            </w:r>
            <w:r w:rsidR="00F40641" w:rsidRPr="006928F6">
              <w:rPr>
                <w:color w:val="000000"/>
                <w:lang w:val="en-US"/>
              </w:rPr>
              <w:t>agreed and input</w:t>
            </w:r>
            <w:r>
              <w:rPr>
                <w:color w:val="000000"/>
                <w:lang w:val="en-US"/>
              </w:rPr>
              <w:t>ted into</w:t>
            </w:r>
            <w:r w:rsidR="00F40641" w:rsidRPr="006928F6">
              <w:rPr>
                <w:color w:val="000000"/>
                <w:lang w:val="en-US"/>
              </w:rPr>
              <w:t xml:space="preserve"> to the CPT in line with the Financial Plan for 2019/20. </w:t>
            </w:r>
          </w:p>
        </w:tc>
      </w:tr>
    </w:tbl>
    <w:p w:rsidR="003738D2" w:rsidRDefault="003738D2" w:rsidP="00E04B83">
      <w:pPr>
        <w:spacing w:beforeLines="20" w:before="48" w:after="0" w:line="276" w:lineRule="auto"/>
      </w:pPr>
    </w:p>
    <w:p w:rsidR="00655D53" w:rsidRDefault="00655D53" w:rsidP="00E04B83">
      <w:pPr>
        <w:spacing w:beforeLines="20" w:before="48" w:after="0" w:line="276" w:lineRule="auto"/>
        <w:rPr>
          <w:b/>
        </w:rPr>
        <w:sectPr w:rsidR="00655D53" w:rsidSect="00655D53">
          <w:pgSz w:w="16838" w:h="11906" w:orient="landscape"/>
          <w:pgMar w:top="1800" w:right="1440" w:bottom="1800" w:left="1440" w:header="708" w:footer="708" w:gutter="0"/>
          <w:cols w:space="708"/>
          <w:docGrid w:linePitch="360"/>
        </w:sectPr>
      </w:pPr>
    </w:p>
    <w:p w:rsidR="00E42EC9" w:rsidRPr="00CC02AE" w:rsidRDefault="00574FE2" w:rsidP="00E04B83">
      <w:pPr>
        <w:spacing w:beforeLines="20" w:before="48" w:after="0" w:line="276" w:lineRule="auto"/>
        <w:rPr>
          <w:b/>
        </w:rPr>
      </w:pPr>
      <w:r w:rsidRPr="003A5504">
        <w:rPr>
          <w:b/>
        </w:rPr>
        <w:lastRenderedPageBreak/>
        <w:t>Issues affecting delivery</w:t>
      </w:r>
      <w:r w:rsidR="00776A5C">
        <w:rPr>
          <w:b/>
        </w:rPr>
        <w:t xml:space="preserve"> in Q1</w:t>
      </w:r>
    </w:p>
    <w:p w:rsidR="00EE6676" w:rsidRDefault="00EE6676" w:rsidP="00E04B83">
      <w:pPr>
        <w:spacing w:beforeLines="20" w:before="48" w:after="0" w:line="276" w:lineRule="auto"/>
        <w:rPr>
          <w:b/>
        </w:rPr>
      </w:pPr>
      <w:r>
        <w:rPr>
          <w:noProof/>
        </w:rPr>
        <w:drawing>
          <wp:inline distT="0" distB="0" distL="0" distR="0" wp14:anchorId="03669879" wp14:editId="02C3BF32">
            <wp:extent cx="5425440" cy="2743200"/>
            <wp:effectExtent l="0" t="0" r="381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C156E" w:rsidRDefault="00CC156E" w:rsidP="00E04B83">
      <w:pPr>
        <w:spacing w:beforeLines="20" w:before="48" w:after="0" w:line="276" w:lineRule="auto"/>
        <w:rPr>
          <w:b/>
        </w:rPr>
      </w:pPr>
    </w:p>
    <w:p w:rsidR="00CC156E" w:rsidRDefault="00CC156E" w:rsidP="00CC156E">
      <w:pPr>
        <w:spacing w:beforeLines="20" w:before="48" w:after="0" w:line="276" w:lineRule="auto"/>
        <w:rPr>
          <w:iCs/>
        </w:rPr>
      </w:pPr>
      <w:r>
        <w:rPr>
          <w:iCs/>
        </w:rPr>
        <w:t>The vast majority of outputs are proceeding as planned (i.e. no issues or not started this quarter).  There are minor issues with a small number but this should not affect overall delivery or achievement of outcomes.</w:t>
      </w:r>
    </w:p>
    <w:p w:rsidR="00CC156E" w:rsidRDefault="00CC156E" w:rsidP="00E04B83">
      <w:pPr>
        <w:spacing w:beforeLines="20" w:before="48" w:after="0" w:line="276" w:lineRule="auto"/>
        <w:rPr>
          <w:b/>
        </w:rPr>
      </w:pPr>
    </w:p>
    <w:p w:rsidR="00A4024E" w:rsidRPr="00DE4249" w:rsidRDefault="00E366CA" w:rsidP="00E04B83">
      <w:pPr>
        <w:spacing w:beforeLines="20" w:before="48" w:after="0" w:line="276" w:lineRule="auto"/>
        <w:rPr>
          <w:b/>
        </w:rPr>
      </w:pPr>
      <w:r w:rsidRPr="00E366CA">
        <w:rPr>
          <w:b/>
        </w:rPr>
        <w:t>Financial data</w:t>
      </w:r>
    </w:p>
    <w:p w:rsidR="00563494" w:rsidRDefault="00DE4249" w:rsidP="00E04B83">
      <w:pPr>
        <w:spacing w:beforeLines="20" w:before="48" w:after="0" w:line="276" w:lineRule="auto"/>
        <w:rPr>
          <w:b/>
        </w:rPr>
      </w:pPr>
      <w:r>
        <w:rPr>
          <w:noProof/>
        </w:rPr>
        <w:drawing>
          <wp:inline distT="0" distB="0" distL="0" distR="0" wp14:anchorId="18A740B1" wp14:editId="155ADDBA">
            <wp:extent cx="5417820" cy="2743200"/>
            <wp:effectExtent l="0" t="0" r="1143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E2CD1" w:rsidRDefault="00AE2CD1" w:rsidP="00E04B83">
      <w:pPr>
        <w:spacing w:beforeLines="20" w:before="48" w:after="0" w:line="276" w:lineRule="auto"/>
        <w:rPr>
          <w:b/>
        </w:rPr>
      </w:pPr>
    </w:p>
    <w:p w:rsidR="00AE2CD1" w:rsidRDefault="00AE2CD1" w:rsidP="00E04B83">
      <w:pPr>
        <w:spacing w:beforeLines="20" w:before="48" w:after="0" w:line="276" w:lineRule="auto"/>
        <w:rPr>
          <w:b/>
        </w:rPr>
      </w:pPr>
    </w:p>
    <w:p w:rsidR="00AE2CD1" w:rsidRDefault="00AE2CD1" w:rsidP="00E04B83">
      <w:pPr>
        <w:spacing w:beforeLines="20" w:before="48" w:after="0" w:line="276" w:lineRule="auto"/>
        <w:rPr>
          <w:b/>
        </w:rPr>
      </w:pPr>
    </w:p>
    <w:p w:rsidR="00AE2CD1" w:rsidRDefault="00AE2CD1" w:rsidP="00E04B83">
      <w:pPr>
        <w:spacing w:beforeLines="20" w:before="48" w:after="0" w:line="276" w:lineRule="auto"/>
        <w:rPr>
          <w:b/>
        </w:rPr>
      </w:pPr>
    </w:p>
    <w:p w:rsidR="00AE2CD1" w:rsidRDefault="00AE2CD1" w:rsidP="00E04B83">
      <w:pPr>
        <w:spacing w:beforeLines="20" w:before="48" w:after="0" w:line="276" w:lineRule="auto"/>
        <w:rPr>
          <w:b/>
        </w:rPr>
      </w:pPr>
    </w:p>
    <w:p w:rsidR="00AE2CD1" w:rsidRDefault="00AE2CD1" w:rsidP="00E04B83">
      <w:pPr>
        <w:spacing w:beforeLines="20" w:before="48" w:after="0" w:line="276" w:lineRule="auto"/>
        <w:rPr>
          <w:b/>
        </w:rPr>
      </w:pPr>
    </w:p>
    <w:p w:rsidR="00CC156E" w:rsidRDefault="00CC156E">
      <w:pPr>
        <w:spacing w:before="0" w:after="160" w:line="259" w:lineRule="auto"/>
        <w:rPr>
          <w:b/>
        </w:rPr>
      </w:pPr>
      <w:r>
        <w:rPr>
          <w:b/>
        </w:rPr>
        <w:br w:type="page"/>
      </w:r>
    </w:p>
    <w:p w:rsidR="00E366CA" w:rsidRDefault="00AE30DA" w:rsidP="00E04B83">
      <w:pPr>
        <w:spacing w:beforeLines="20" w:before="48" w:after="0" w:line="276" w:lineRule="auto"/>
        <w:rPr>
          <w:b/>
        </w:rPr>
      </w:pPr>
      <w:r>
        <w:rPr>
          <w:b/>
        </w:rPr>
        <w:lastRenderedPageBreak/>
        <w:t>L</w:t>
      </w:r>
      <w:r w:rsidR="00A93A1E">
        <w:rPr>
          <w:b/>
        </w:rPr>
        <w:t>earning data</w:t>
      </w:r>
    </w:p>
    <w:p w:rsidR="00AE2CD1" w:rsidRDefault="00AE2CD1" w:rsidP="00E04B83">
      <w:pPr>
        <w:spacing w:beforeLines="20" w:before="48" w:after="0" w:line="276" w:lineRule="auto"/>
        <w:rPr>
          <w:noProof/>
        </w:rPr>
      </w:pPr>
      <w:r>
        <w:rPr>
          <w:noProof/>
        </w:rPr>
        <w:drawing>
          <wp:inline distT="0" distB="0" distL="0" distR="0" wp14:anchorId="5C1B60A1" wp14:editId="1F107703">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E2CD1" w:rsidRDefault="00AE2CD1" w:rsidP="00E04B83">
      <w:pPr>
        <w:spacing w:beforeLines="20" w:before="48" w:after="0" w:line="276" w:lineRule="auto"/>
        <w:rPr>
          <w:noProof/>
        </w:rPr>
      </w:pPr>
    </w:p>
    <w:p w:rsidR="00C130A2" w:rsidRDefault="00C130A2" w:rsidP="00E04B83">
      <w:pPr>
        <w:spacing w:beforeLines="20" w:before="48" w:after="0" w:line="276" w:lineRule="auto"/>
        <w:rPr>
          <w:b/>
        </w:rPr>
      </w:pPr>
      <w:r>
        <w:rPr>
          <w:b/>
        </w:rPr>
        <w:t>Social media</w:t>
      </w:r>
    </w:p>
    <w:p w:rsidR="00BF3DFD" w:rsidRDefault="007C006D" w:rsidP="00CC156E">
      <w:pPr>
        <w:spacing w:beforeLines="20" w:before="48" w:after="0" w:line="276" w:lineRule="auto"/>
        <w:jc w:val="both"/>
        <w:rPr>
          <w:color w:val="000000"/>
        </w:rPr>
      </w:pPr>
      <w:r>
        <w:t xml:space="preserve"> </w:t>
      </w:r>
      <w:r w:rsidR="00AE2CD1">
        <w:rPr>
          <w:noProof/>
        </w:rPr>
        <w:drawing>
          <wp:inline distT="0" distB="0" distL="0" distR="0" wp14:anchorId="70885744" wp14:editId="17CEB4FA">
            <wp:extent cx="5162550" cy="24765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E2CD1" w:rsidRDefault="00AE2CD1" w:rsidP="00E04B83">
      <w:pPr>
        <w:spacing w:beforeLines="20" w:before="48" w:after="0" w:line="276" w:lineRule="auto"/>
        <w:rPr>
          <w:color w:val="000000"/>
        </w:rPr>
      </w:pPr>
    </w:p>
    <w:p w:rsidR="00AE2CD1" w:rsidRDefault="00AE2CD1" w:rsidP="00CC156E">
      <w:pPr>
        <w:spacing w:beforeLines="20" w:before="48" w:after="0" w:line="276" w:lineRule="auto"/>
        <w:jc w:val="both"/>
        <w:rPr>
          <w:color w:val="000000"/>
        </w:rPr>
      </w:pPr>
      <w:r>
        <w:rPr>
          <w:noProof/>
        </w:rPr>
        <w:drawing>
          <wp:inline distT="0" distB="0" distL="0" distR="0" wp14:anchorId="07D2A983" wp14:editId="1C91F7E5">
            <wp:extent cx="5208790" cy="2538846"/>
            <wp:effectExtent l="0" t="0" r="11430" b="139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E2CD1" w:rsidRDefault="00AE2CD1" w:rsidP="00E04B83">
      <w:pPr>
        <w:spacing w:beforeLines="20" w:before="48" w:after="0" w:line="276" w:lineRule="auto"/>
        <w:rPr>
          <w:color w:val="000000"/>
        </w:rPr>
      </w:pPr>
    </w:p>
    <w:p w:rsidR="00AE2CD1" w:rsidRDefault="00AE2CD1" w:rsidP="00E04B83">
      <w:pPr>
        <w:spacing w:beforeLines="20" w:before="48" w:after="0" w:line="276" w:lineRule="auto"/>
        <w:rPr>
          <w:color w:val="000000"/>
        </w:rPr>
      </w:pPr>
      <w:r>
        <w:rPr>
          <w:noProof/>
        </w:rPr>
        <w:drawing>
          <wp:inline distT="0" distB="0" distL="0" distR="0" wp14:anchorId="1E5EAF78" wp14:editId="2E4AED61">
            <wp:extent cx="5210175" cy="2495550"/>
            <wp:effectExtent l="0" t="0" r="952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E2CD1" w:rsidRDefault="00AE2CD1" w:rsidP="00E04B83">
      <w:pPr>
        <w:spacing w:beforeLines="20" w:before="48" w:after="0" w:line="276" w:lineRule="auto"/>
        <w:rPr>
          <w:color w:val="000000"/>
        </w:rPr>
      </w:pPr>
    </w:p>
    <w:p w:rsidR="00AE2CD1" w:rsidRDefault="00AE2CD1" w:rsidP="00E04B83">
      <w:pPr>
        <w:spacing w:beforeLines="20" w:before="48" w:after="0" w:line="276" w:lineRule="auto"/>
        <w:rPr>
          <w:color w:val="000000"/>
        </w:rPr>
      </w:pPr>
      <w:r>
        <w:rPr>
          <w:noProof/>
        </w:rPr>
        <w:drawing>
          <wp:inline distT="0" distB="0" distL="0" distR="0" wp14:anchorId="266DAED1" wp14:editId="43C0CDC7">
            <wp:extent cx="5181600" cy="249555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C156E" w:rsidRDefault="00CC156E" w:rsidP="00E04B83">
      <w:pPr>
        <w:spacing w:beforeLines="20" w:before="48" w:after="0" w:line="276" w:lineRule="auto"/>
        <w:rPr>
          <w:b/>
        </w:rPr>
      </w:pPr>
    </w:p>
    <w:p w:rsidR="005B192E" w:rsidRDefault="005B192E" w:rsidP="00785D8F">
      <w:pPr>
        <w:numPr>
          <w:ilvl w:val="0"/>
          <w:numId w:val="7"/>
        </w:numPr>
        <w:spacing w:beforeLines="20" w:before="48" w:after="0" w:line="276" w:lineRule="auto"/>
        <w:contextualSpacing/>
        <w:rPr>
          <w:rFonts w:eastAsiaTheme="minorHAnsi"/>
          <w:color w:val="000000"/>
        </w:rPr>
      </w:pPr>
      <w:r>
        <w:rPr>
          <w:color w:val="000000"/>
        </w:rPr>
        <w:t xml:space="preserve">Our average number of impressions was up on the last quarter by 32%. All metrics are almost identical to this time last year, including an average engagement rate </w:t>
      </w:r>
      <w:r w:rsidR="00785D8F">
        <w:rPr>
          <w:color w:val="000000"/>
        </w:rPr>
        <w:t>(</w:t>
      </w:r>
      <w:r w:rsidR="00785D8F" w:rsidRPr="00785D8F">
        <w:rPr>
          <w:color w:val="000000"/>
        </w:rPr>
        <w:t xml:space="preserve">the percentage of people who did something with </w:t>
      </w:r>
      <w:r w:rsidR="00785D8F">
        <w:rPr>
          <w:color w:val="000000"/>
        </w:rPr>
        <w:t>the tweet including r</w:t>
      </w:r>
      <w:r w:rsidR="00785D8F" w:rsidRPr="00785D8F">
        <w:rPr>
          <w:color w:val="000000"/>
        </w:rPr>
        <w:t>etweet</w:t>
      </w:r>
      <w:r w:rsidR="00785D8F">
        <w:rPr>
          <w:color w:val="000000"/>
        </w:rPr>
        <w:t>, reply, like</w:t>
      </w:r>
      <w:r w:rsidR="00785D8F" w:rsidRPr="00785D8F">
        <w:rPr>
          <w:color w:val="000000"/>
        </w:rPr>
        <w:t xml:space="preserve">, </w:t>
      </w:r>
      <w:r w:rsidR="00785D8F">
        <w:rPr>
          <w:color w:val="000000"/>
        </w:rPr>
        <w:t xml:space="preserve">and click on </w:t>
      </w:r>
      <w:r w:rsidR="00785D8F" w:rsidRPr="00785D8F">
        <w:rPr>
          <w:color w:val="000000"/>
        </w:rPr>
        <w:t xml:space="preserve">links, hashtags, </w:t>
      </w:r>
      <w:r w:rsidR="00785D8F">
        <w:rPr>
          <w:color w:val="000000"/>
        </w:rPr>
        <w:t xml:space="preserve">or embedded media) </w:t>
      </w:r>
      <w:r>
        <w:rPr>
          <w:color w:val="000000"/>
        </w:rPr>
        <w:t>of 1.0%</w:t>
      </w:r>
      <w:r w:rsidR="00785D8F">
        <w:rPr>
          <w:color w:val="000000"/>
        </w:rPr>
        <w:t xml:space="preserve">, which is the </w:t>
      </w:r>
      <w:r>
        <w:rPr>
          <w:color w:val="000000"/>
        </w:rPr>
        <w:t xml:space="preserve">standard </w:t>
      </w:r>
      <w:r w:rsidR="00785D8F">
        <w:rPr>
          <w:color w:val="000000"/>
        </w:rPr>
        <w:t xml:space="preserve">rate </w:t>
      </w:r>
      <w:r>
        <w:rPr>
          <w:color w:val="000000"/>
        </w:rPr>
        <w:t>but just below our stretching target of 1.1%. Tweets continue to be relevant, timely and interesting and this data shows we are managing the resources we put into social media well.</w:t>
      </w:r>
    </w:p>
    <w:p w:rsidR="005B192E" w:rsidRDefault="005B192E" w:rsidP="005B192E">
      <w:pPr>
        <w:spacing w:beforeLines="20" w:before="48" w:after="0" w:line="276" w:lineRule="auto"/>
        <w:ind w:left="360"/>
        <w:contextualSpacing/>
        <w:rPr>
          <w:color w:val="000000"/>
        </w:rPr>
      </w:pPr>
    </w:p>
    <w:p w:rsidR="005B192E" w:rsidRDefault="005B192E" w:rsidP="005B192E">
      <w:pPr>
        <w:numPr>
          <w:ilvl w:val="0"/>
          <w:numId w:val="7"/>
        </w:numPr>
        <w:spacing w:beforeLines="20" w:before="48" w:after="0" w:line="276" w:lineRule="auto"/>
        <w:contextualSpacing/>
        <w:rPr>
          <w:color w:val="000000"/>
        </w:rPr>
      </w:pPr>
      <w:r>
        <w:rPr>
          <w:color w:val="000000"/>
        </w:rPr>
        <w:t xml:space="preserve">June is a traditionally busy month, and despite a high amount of tweets and impressions our average engagement rate was 1.1%. This was a result of many high-profile activities taking place and excellent engagement with our social media posts, particularly the international Making Place event, CEO of PHS recruitment, CPAG Scotland event, oral </w:t>
      </w:r>
      <w:r>
        <w:rPr>
          <w:color w:val="000000"/>
        </w:rPr>
        <w:lastRenderedPageBreak/>
        <w:t>evidence submission to Scottish Affairs Committee’s drugs inquiry, report on explaining trends in excess mortality.</w:t>
      </w:r>
    </w:p>
    <w:p w:rsidR="00CC156E" w:rsidRDefault="00CC156E">
      <w:pPr>
        <w:spacing w:before="0" w:after="160" w:line="259" w:lineRule="auto"/>
        <w:rPr>
          <w:b/>
        </w:rPr>
      </w:pPr>
      <w:r>
        <w:rPr>
          <w:b/>
        </w:rPr>
        <w:br w:type="page"/>
      </w:r>
    </w:p>
    <w:p w:rsidR="0031642E" w:rsidRPr="00564528" w:rsidRDefault="00E366CA" w:rsidP="00E04B83">
      <w:pPr>
        <w:spacing w:beforeLines="20" w:before="48" w:after="0" w:line="276" w:lineRule="auto"/>
        <w:rPr>
          <w:b/>
        </w:rPr>
      </w:pPr>
      <w:r w:rsidRPr="00E366CA">
        <w:rPr>
          <w:b/>
        </w:rPr>
        <w:lastRenderedPageBreak/>
        <w:t xml:space="preserve">Staff </w:t>
      </w:r>
      <w:r w:rsidR="00564528">
        <w:rPr>
          <w:b/>
        </w:rPr>
        <w:t>time d</w:t>
      </w:r>
      <w:r w:rsidR="00CC156E">
        <w:rPr>
          <w:b/>
        </w:rPr>
        <w:t>ata</w:t>
      </w:r>
    </w:p>
    <w:p w:rsidR="00414211" w:rsidRDefault="00574425" w:rsidP="00E04B83">
      <w:pPr>
        <w:spacing w:beforeLines="20" w:before="48" w:after="0" w:line="276" w:lineRule="auto"/>
      </w:pPr>
      <w:r>
        <w:rPr>
          <w:noProof/>
        </w:rPr>
        <w:drawing>
          <wp:inline distT="0" distB="0" distL="0" distR="0" wp14:anchorId="6A30B6A1" wp14:editId="52D2970B">
            <wp:extent cx="5274310" cy="2574290"/>
            <wp:effectExtent l="0" t="0" r="2540" b="165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96E98" w:rsidRDefault="00574425" w:rsidP="00E04B83">
      <w:pPr>
        <w:spacing w:beforeLines="20" w:before="48" w:after="0" w:line="276" w:lineRule="auto"/>
      </w:pPr>
      <w:r>
        <w:rPr>
          <w:noProof/>
        </w:rPr>
        <w:drawing>
          <wp:inline distT="0" distB="0" distL="0" distR="0" wp14:anchorId="1712E2D0" wp14:editId="18F2ACA0">
            <wp:extent cx="5234940" cy="2654300"/>
            <wp:effectExtent l="0" t="0" r="381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130A2" w:rsidRDefault="00574425" w:rsidP="00E04B83">
      <w:pPr>
        <w:spacing w:beforeLines="20" w:before="48" w:after="0" w:line="276" w:lineRule="auto"/>
        <w:rPr>
          <w:rFonts w:eastAsiaTheme="minorHAnsi"/>
          <w:b/>
          <w:sz w:val="40"/>
        </w:rPr>
      </w:pPr>
      <w:r>
        <w:rPr>
          <w:noProof/>
        </w:rPr>
        <w:drawing>
          <wp:inline distT="0" distB="0" distL="0" distR="0" wp14:anchorId="5D2DDE1E" wp14:editId="45A13556">
            <wp:extent cx="5274310" cy="2574290"/>
            <wp:effectExtent l="0" t="0" r="2540" b="165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334E7" w:rsidRDefault="005334E7" w:rsidP="00E04B83">
      <w:pPr>
        <w:spacing w:beforeLines="20" w:before="48" w:after="0" w:line="276" w:lineRule="auto"/>
        <w:rPr>
          <w:rFonts w:eastAsiaTheme="minorHAnsi"/>
          <w:b/>
          <w:sz w:val="40"/>
        </w:rPr>
      </w:pPr>
    </w:p>
    <w:p w:rsidR="00574425" w:rsidRPr="00574425" w:rsidRDefault="00574425" w:rsidP="00E04B83">
      <w:pPr>
        <w:pStyle w:val="Ahead"/>
        <w:spacing w:beforeLines="20" w:before="48" w:after="0" w:line="276" w:lineRule="auto"/>
        <w:sectPr w:rsidR="00574425" w:rsidRPr="00574425" w:rsidSect="00655D53">
          <w:pgSz w:w="11906" w:h="16838"/>
          <w:pgMar w:top="1440" w:right="1800" w:bottom="1440" w:left="1800" w:header="708" w:footer="708" w:gutter="0"/>
          <w:cols w:space="708"/>
          <w:docGrid w:linePitch="360"/>
        </w:sectPr>
      </w:pPr>
    </w:p>
    <w:p w:rsidR="00C62E27" w:rsidRDefault="00C62E27" w:rsidP="00E04B83">
      <w:pPr>
        <w:pStyle w:val="Ahead"/>
        <w:spacing w:beforeLines="20" w:before="48" w:after="0" w:line="276" w:lineRule="auto"/>
      </w:pPr>
      <w:bookmarkStart w:id="10" w:name="_Toc18312842"/>
      <w:r>
        <w:lastRenderedPageBreak/>
        <w:t xml:space="preserve">Part </w:t>
      </w:r>
      <w:r w:rsidR="00744A4E">
        <w:t>4</w:t>
      </w:r>
      <w:r>
        <w:t xml:space="preserve">: </w:t>
      </w:r>
      <w:r w:rsidRPr="006A52FE">
        <w:t>Corporate Risk Register Report</w:t>
      </w:r>
      <w:bookmarkEnd w:id="10"/>
    </w:p>
    <w:tbl>
      <w:tblPr>
        <w:tblStyle w:val="TableGrid"/>
        <w:tblpPr w:leftFromText="180" w:rightFromText="180" w:vertAnchor="page" w:horzAnchor="margin" w:tblpY="2176"/>
        <w:tblW w:w="14029" w:type="dxa"/>
        <w:tblLook w:val="04A0" w:firstRow="1" w:lastRow="0" w:firstColumn="1" w:lastColumn="0" w:noHBand="0" w:noVBand="1"/>
        <w:tblCaption w:val="NHS Health Scotland Corporate Risk Register 2017/18"/>
        <w:tblDescription w:val="The table sets out the 6 risks recorded in NHS Health Scotland Corporate Risk Register 2017/18, the risk category for each risk, the owner, response coordinators and the governance committee the risk is reported to."/>
      </w:tblPr>
      <w:tblGrid>
        <w:gridCol w:w="704"/>
        <w:gridCol w:w="5670"/>
        <w:gridCol w:w="7655"/>
      </w:tblGrid>
      <w:tr w:rsidR="00C62E27" w:rsidRPr="005E26E3" w:rsidTr="00CA17DA">
        <w:tc>
          <w:tcPr>
            <w:tcW w:w="704" w:type="dxa"/>
          </w:tcPr>
          <w:p w:rsidR="00C62E27" w:rsidRPr="005E26E3" w:rsidRDefault="00C62E27" w:rsidP="00E04B83">
            <w:pPr>
              <w:spacing w:beforeLines="20" w:before="48" w:after="0" w:line="276" w:lineRule="auto"/>
              <w:rPr>
                <w:b/>
              </w:rPr>
            </w:pPr>
            <w:r w:rsidRPr="005E26E3">
              <w:rPr>
                <w:b/>
              </w:rPr>
              <w:t>No.</w:t>
            </w:r>
          </w:p>
        </w:tc>
        <w:tc>
          <w:tcPr>
            <w:tcW w:w="5670" w:type="dxa"/>
          </w:tcPr>
          <w:p w:rsidR="00C62E27" w:rsidRPr="005E26E3" w:rsidRDefault="00C62E27" w:rsidP="00E04B83">
            <w:pPr>
              <w:spacing w:beforeLines="20" w:before="48" w:after="0" w:line="276" w:lineRule="auto"/>
              <w:rPr>
                <w:b/>
              </w:rPr>
            </w:pPr>
            <w:r w:rsidRPr="005E26E3">
              <w:rPr>
                <w:b/>
              </w:rPr>
              <w:t>Description</w:t>
            </w:r>
          </w:p>
        </w:tc>
        <w:tc>
          <w:tcPr>
            <w:tcW w:w="7655" w:type="dxa"/>
          </w:tcPr>
          <w:p w:rsidR="00C62E27" w:rsidRPr="005E26E3" w:rsidRDefault="00CA17DA" w:rsidP="00E04B83">
            <w:pPr>
              <w:spacing w:beforeLines="20" w:before="48" w:after="0" w:line="276" w:lineRule="auto"/>
              <w:rPr>
                <w:b/>
              </w:rPr>
            </w:pPr>
            <w:r>
              <w:rPr>
                <w:b/>
                <w:bCs/>
              </w:rPr>
              <w:t xml:space="preserve">Q1 </w:t>
            </w:r>
            <w:r w:rsidR="00C62E27" w:rsidRPr="009D661E">
              <w:rPr>
                <w:b/>
                <w:bCs/>
              </w:rPr>
              <w:t>Narrative</w:t>
            </w:r>
          </w:p>
        </w:tc>
      </w:tr>
      <w:tr w:rsidR="00C62E27" w:rsidRPr="005E26E3" w:rsidTr="00CA17DA">
        <w:trPr>
          <w:trHeight w:val="1378"/>
        </w:trPr>
        <w:tc>
          <w:tcPr>
            <w:tcW w:w="704" w:type="dxa"/>
          </w:tcPr>
          <w:p w:rsidR="00C62E27" w:rsidRPr="005E26E3" w:rsidRDefault="00C62E27" w:rsidP="00E04B83">
            <w:pPr>
              <w:spacing w:beforeLines="20" w:before="48" w:after="0" w:line="276" w:lineRule="auto"/>
            </w:pPr>
            <w:r>
              <w:t>19</w:t>
            </w:r>
            <w:r w:rsidRPr="005E26E3">
              <w:t>-1</w:t>
            </w:r>
          </w:p>
        </w:tc>
        <w:tc>
          <w:tcPr>
            <w:tcW w:w="5670" w:type="dxa"/>
          </w:tcPr>
          <w:p w:rsidR="00C62E27" w:rsidRPr="00570073" w:rsidRDefault="00C62E27" w:rsidP="00E04B83">
            <w:pPr>
              <w:spacing w:beforeLines="20" w:before="48" w:after="0" w:line="276" w:lineRule="auto"/>
            </w:pPr>
            <w:r w:rsidRPr="00570073">
              <w:t>As a result of uncertainties in the funding arrangements for Public Health Scotland from 1/12/19, there is a risk that the commitments made in this Delivery Plan will not be fully achieved.</w:t>
            </w:r>
          </w:p>
        </w:tc>
        <w:tc>
          <w:tcPr>
            <w:tcW w:w="7655" w:type="dxa"/>
          </w:tcPr>
          <w:p w:rsidR="00CA17DA" w:rsidRDefault="00CA17DA" w:rsidP="00265D9C">
            <w:pPr>
              <w:numPr>
                <w:ilvl w:val="0"/>
                <w:numId w:val="3"/>
              </w:numPr>
              <w:spacing w:beforeLines="20" w:before="48" w:after="0" w:line="276" w:lineRule="auto"/>
              <w:contextualSpacing/>
            </w:pPr>
            <w:r>
              <w:t xml:space="preserve">The </w:t>
            </w:r>
            <w:r w:rsidRPr="00570073">
              <w:t xml:space="preserve">funding uncertainty for 2019/20 </w:t>
            </w:r>
            <w:r>
              <w:t>has been eliminated following the a</w:t>
            </w:r>
            <w:r w:rsidR="00C62E27" w:rsidRPr="00570073">
              <w:t xml:space="preserve">nnouncement made regarding </w:t>
            </w:r>
            <w:r>
              <w:t xml:space="preserve">the </w:t>
            </w:r>
            <w:r w:rsidR="00C62E27" w:rsidRPr="00570073">
              <w:t xml:space="preserve">change in vesting date </w:t>
            </w:r>
            <w:r>
              <w:t xml:space="preserve">to 1 April 2020.  </w:t>
            </w:r>
          </w:p>
          <w:p w:rsidR="00C62E27" w:rsidRPr="00570073" w:rsidRDefault="00C62E27" w:rsidP="00265D9C">
            <w:pPr>
              <w:numPr>
                <w:ilvl w:val="0"/>
                <w:numId w:val="3"/>
              </w:numPr>
              <w:spacing w:beforeLines="20" w:before="48" w:after="0" w:line="276" w:lineRule="auto"/>
              <w:contextualSpacing/>
            </w:pPr>
            <w:r w:rsidRPr="00570073">
              <w:t xml:space="preserve">2019/20 will be a full </w:t>
            </w:r>
            <w:r w:rsidR="00CA17DA">
              <w:t xml:space="preserve">business year. </w:t>
            </w:r>
            <w:r w:rsidRPr="00570073">
              <w:t xml:space="preserve"> </w:t>
            </w:r>
          </w:p>
        </w:tc>
      </w:tr>
      <w:tr w:rsidR="00C62E27" w:rsidRPr="005E26E3" w:rsidTr="00CA17DA">
        <w:trPr>
          <w:trHeight w:val="699"/>
        </w:trPr>
        <w:tc>
          <w:tcPr>
            <w:tcW w:w="704" w:type="dxa"/>
          </w:tcPr>
          <w:p w:rsidR="00C62E27" w:rsidRPr="005E26E3" w:rsidRDefault="00C62E27" w:rsidP="00E04B83">
            <w:pPr>
              <w:spacing w:beforeLines="20" w:before="48" w:after="0" w:line="276" w:lineRule="auto"/>
            </w:pPr>
            <w:r>
              <w:t>19-2</w:t>
            </w:r>
          </w:p>
        </w:tc>
        <w:tc>
          <w:tcPr>
            <w:tcW w:w="5670" w:type="dxa"/>
          </w:tcPr>
          <w:p w:rsidR="00C62E27" w:rsidRPr="00570073" w:rsidRDefault="00C62E27" w:rsidP="00E04B83">
            <w:pPr>
              <w:pStyle w:val="Default"/>
              <w:spacing w:beforeLines="20" w:before="48" w:line="276" w:lineRule="auto"/>
            </w:pPr>
            <w:r w:rsidRPr="00570073">
              <w:t>As</w:t>
            </w:r>
            <w:r w:rsidRPr="00570073">
              <w:rPr>
                <w:spacing w:val="-4"/>
              </w:rPr>
              <w:t xml:space="preserve"> </w:t>
            </w:r>
            <w:r w:rsidRPr="00570073">
              <w:t>a</w:t>
            </w:r>
            <w:r w:rsidRPr="00570073">
              <w:rPr>
                <w:spacing w:val="-7"/>
              </w:rPr>
              <w:t xml:space="preserve"> </w:t>
            </w:r>
            <w:r w:rsidRPr="00570073">
              <w:t>result</w:t>
            </w:r>
            <w:r w:rsidRPr="00570073">
              <w:rPr>
                <w:spacing w:val="-6"/>
              </w:rPr>
              <w:t xml:space="preserve"> </w:t>
            </w:r>
            <w:r w:rsidRPr="00570073">
              <w:t>of</w:t>
            </w:r>
            <w:r w:rsidRPr="00570073">
              <w:rPr>
                <w:spacing w:val="-5"/>
              </w:rPr>
              <w:t xml:space="preserve"> </w:t>
            </w:r>
            <w:r w:rsidRPr="00570073">
              <w:t>needing</w:t>
            </w:r>
            <w:r w:rsidRPr="00570073">
              <w:rPr>
                <w:spacing w:val="-6"/>
              </w:rPr>
              <w:t xml:space="preserve"> </w:t>
            </w:r>
            <w:r w:rsidRPr="00570073">
              <w:t>more</w:t>
            </w:r>
            <w:r w:rsidRPr="00570073">
              <w:rPr>
                <w:spacing w:val="-7"/>
              </w:rPr>
              <w:t xml:space="preserve"> </w:t>
            </w:r>
            <w:r w:rsidRPr="00570073">
              <w:t>of</w:t>
            </w:r>
            <w:r w:rsidRPr="00570073">
              <w:rPr>
                <w:spacing w:val="-2"/>
              </w:rPr>
              <w:t xml:space="preserve"> </w:t>
            </w:r>
            <w:r w:rsidRPr="00570073">
              <w:t>our</w:t>
            </w:r>
            <w:r w:rsidRPr="00570073">
              <w:rPr>
                <w:spacing w:val="-5"/>
              </w:rPr>
              <w:t xml:space="preserve"> </w:t>
            </w:r>
            <w:r w:rsidRPr="00570073">
              <w:t>resources</w:t>
            </w:r>
            <w:r w:rsidRPr="00570073">
              <w:rPr>
                <w:spacing w:val="-5"/>
              </w:rPr>
              <w:t xml:space="preserve"> </w:t>
            </w:r>
            <w:r w:rsidRPr="00570073">
              <w:t>than</w:t>
            </w:r>
            <w:r w:rsidRPr="00570073">
              <w:rPr>
                <w:spacing w:val="-6"/>
              </w:rPr>
              <w:t xml:space="preserve"> </w:t>
            </w:r>
            <w:r w:rsidRPr="00570073">
              <w:t>anticipated to manage the transition to Public Health Scotland, and</w:t>
            </w:r>
            <w:r w:rsidRPr="00570073">
              <w:rPr>
                <w:spacing w:val="-34"/>
              </w:rPr>
              <w:t xml:space="preserve"> </w:t>
            </w:r>
            <w:r w:rsidRPr="00570073">
              <w:t>particularly senior management resource, there is a risk either that we do not deliver all our commitments for 2019/20 or that errors are made</w:t>
            </w:r>
            <w:r w:rsidRPr="00570073">
              <w:rPr>
                <w:spacing w:val="6"/>
              </w:rPr>
              <w:t xml:space="preserve"> </w:t>
            </w:r>
            <w:r w:rsidRPr="00570073">
              <w:t>in the quality control of our outputs.</w:t>
            </w:r>
          </w:p>
        </w:tc>
        <w:tc>
          <w:tcPr>
            <w:tcW w:w="7655" w:type="dxa"/>
          </w:tcPr>
          <w:p w:rsidR="00C62E27" w:rsidRPr="00570073" w:rsidRDefault="00CA17DA" w:rsidP="00265D9C">
            <w:pPr>
              <w:pStyle w:val="ListParagraph"/>
              <w:widowControl w:val="0"/>
              <w:numPr>
                <w:ilvl w:val="0"/>
                <w:numId w:val="4"/>
              </w:numPr>
              <w:tabs>
                <w:tab w:val="left" w:pos="1200"/>
              </w:tabs>
              <w:autoSpaceDE w:val="0"/>
              <w:autoSpaceDN w:val="0"/>
              <w:spacing w:beforeLines="20" w:before="48" w:after="0" w:line="276" w:lineRule="auto"/>
              <w:contextualSpacing w:val="0"/>
            </w:pPr>
            <w:r>
              <w:t xml:space="preserve">This risk is managed </w:t>
            </w:r>
            <w:r w:rsidR="00C62E27" w:rsidRPr="00570073">
              <w:t xml:space="preserve">through Commissioners </w:t>
            </w:r>
            <w:r>
              <w:t>including</w:t>
            </w:r>
            <w:r w:rsidR="00C62E27" w:rsidRPr="00570073">
              <w:t xml:space="preserve"> detailed review at initial budget setting in 2019/20 in terms of priorities</w:t>
            </w:r>
            <w:r>
              <w:t xml:space="preserve"> and </w:t>
            </w:r>
            <w:r w:rsidR="00C62E27" w:rsidRPr="00570073">
              <w:t xml:space="preserve">staffing levels to support the deliverables in our plan.  </w:t>
            </w:r>
            <w:r>
              <w:t xml:space="preserve">A review was carried out in </w:t>
            </w:r>
            <w:r w:rsidR="00C62E27" w:rsidRPr="00570073">
              <w:t xml:space="preserve">late June with deferred projects at the initial budget setting process funded for the year.  </w:t>
            </w:r>
          </w:p>
          <w:p w:rsidR="00C62E27" w:rsidRPr="008446AA" w:rsidRDefault="00C62E27" w:rsidP="00265D9C">
            <w:pPr>
              <w:numPr>
                <w:ilvl w:val="0"/>
                <w:numId w:val="4"/>
              </w:numPr>
              <w:spacing w:beforeLines="20" w:before="48" w:after="0" w:line="276" w:lineRule="auto"/>
            </w:pPr>
            <w:r w:rsidRPr="00570073">
              <w:t xml:space="preserve">Regular reviews </w:t>
            </w:r>
            <w:r w:rsidR="00CA17DA">
              <w:t xml:space="preserve">are conducted </w:t>
            </w:r>
            <w:r w:rsidRPr="00570073">
              <w:t xml:space="preserve">by Commissioners in year to ensure </w:t>
            </w:r>
            <w:r w:rsidR="00CA17DA">
              <w:t>the D</w:t>
            </w:r>
            <w:r w:rsidRPr="00570073">
              <w:t xml:space="preserve">elivery </w:t>
            </w:r>
            <w:r w:rsidR="00CA17DA">
              <w:t>P</w:t>
            </w:r>
            <w:r w:rsidRPr="00570073">
              <w:t>lan is on target.</w:t>
            </w:r>
          </w:p>
        </w:tc>
      </w:tr>
      <w:tr w:rsidR="00C62E27" w:rsidRPr="005E26E3" w:rsidTr="00CA17DA">
        <w:trPr>
          <w:trHeight w:val="699"/>
        </w:trPr>
        <w:tc>
          <w:tcPr>
            <w:tcW w:w="704" w:type="dxa"/>
          </w:tcPr>
          <w:p w:rsidR="00C62E27" w:rsidRDefault="00C62E27" w:rsidP="00E04B83">
            <w:pPr>
              <w:spacing w:beforeLines="20" w:before="48" w:after="0" w:line="276" w:lineRule="auto"/>
            </w:pPr>
            <w:r>
              <w:t>19-3</w:t>
            </w:r>
          </w:p>
        </w:tc>
        <w:tc>
          <w:tcPr>
            <w:tcW w:w="5670" w:type="dxa"/>
          </w:tcPr>
          <w:p w:rsidR="00C62E27" w:rsidRPr="00570073" w:rsidRDefault="00C62E27" w:rsidP="00E04B83">
            <w:pPr>
              <w:pStyle w:val="Default"/>
              <w:spacing w:beforeLines="20" w:before="48" w:line="276" w:lineRule="auto"/>
            </w:pPr>
            <w:r w:rsidRPr="00570073">
              <w:t>As a result of NHS Health Scotland’s involvement in the shadow executive and governance arrangements for Public Health Scotland, there is a risk of a conflict of accountability, resulting in liabilities and reputational damage.</w:t>
            </w:r>
          </w:p>
        </w:tc>
        <w:tc>
          <w:tcPr>
            <w:tcW w:w="7655" w:type="dxa"/>
          </w:tcPr>
          <w:p w:rsidR="00C62E27" w:rsidRPr="00B93C73" w:rsidRDefault="00C62E27" w:rsidP="00265D9C">
            <w:pPr>
              <w:pStyle w:val="ListParagraph"/>
              <w:numPr>
                <w:ilvl w:val="0"/>
                <w:numId w:val="6"/>
              </w:numPr>
              <w:spacing w:beforeLines="20" w:before="48" w:after="0" w:line="276" w:lineRule="auto"/>
              <w:rPr>
                <w:rFonts w:eastAsiaTheme="minorHAnsi"/>
                <w:color w:val="000000"/>
              </w:rPr>
            </w:pPr>
            <w:r w:rsidRPr="00B93C73">
              <w:rPr>
                <w:color w:val="000000"/>
              </w:rPr>
              <w:t xml:space="preserve">This risk </w:t>
            </w:r>
            <w:r w:rsidR="00CA17DA">
              <w:rPr>
                <w:color w:val="000000"/>
              </w:rPr>
              <w:t xml:space="preserve">is </w:t>
            </w:r>
            <w:r w:rsidRPr="00B93C73">
              <w:rPr>
                <w:color w:val="000000"/>
              </w:rPr>
              <w:t xml:space="preserve">monitored by the NHS Health Scotland executive team attendance at the PHS Shadow Executive Management Team meetings and associated processes, with ultimate accountably resting with the NHS CEO and by the NHS Health Scotland Chair at the Public Health Reform Oversight Board meetings. </w:t>
            </w:r>
          </w:p>
        </w:tc>
      </w:tr>
      <w:tr w:rsidR="00CC156E" w:rsidRPr="005E26E3" w:rsidTr="00CA17DA">
        <w:trPr>
          <w:trHeight w:val="699"/>
        </w:trPr>
        <w:tc>
          <w:tcPr>
            <w:tcW w:w="704" w:type="dxa"/>
          </w:tcPr>
          <w:p w:rsidR="00CC156E" w:rsidRDefault="00CC156E" w:rsidP="00CC156E">
            <w:pPr>
              <w:spacing w:beforeLines="20" w:before="48" w:after="0" w:line="276" w:lineRule="auto"/>
            </w:pPr>
            <w:r>
              <w:t>19-4</w:t>
            </w:r>
          </w:p>
        </w:tc>
        <w:tc>
          <w:tcPr>
            <w:tcW w:w="5670" w:type="dxa"/>
          </w:tcPr>
          <w:p w:rsidR="00CC156E" w:rsidRPr="00570073" w:rsidRDefault="00CC156E" w:rsidP="00CC156E">
            <w:pPr>
              <w:pStyle w:val="Default"/>
              <w:spacing w:beforeLines="20" w:before="48" w:line="276" w:lineRule="auto"/>
            </w:pPr>
            <w:r w:rsidRPr="00570073">
              <w:t>As a result of decisions made on behalf of Public Health Scotland during the creation of the new organisation, there is a risk of an impact on NHS Health Scotland’s ongoing staff governance responsibilities.</w:t>
            </w:r>
          </w:p>
        </w:tc>
        <w:tc>
          <w:tcPr>
            <w:tcW w:w="7655" w:type="dxa"/>
          </w:tcPr>
          <w:p w:rsidR="00CC156E" w:rsidRDefault="00CC156E" w:rsidP="00265D9C">
            <w:pPr>
              <w:pStyle w:val="ListParagraph"/>
              <w:numPr>
                <w:ilvl w:val="0"/>
                <w:numId w:val="6"/>
              </w:numPr>
              <w:spacing w:beforeLines="20" w:before="48" w:after="0" w:line="276" w:lineRule="auto"/>
              <w:rPr>
                <w:color w:val="000000"/>
              </w:rPr>
            </w:pPr>
            <w:r w:rsidRPr="00570073">
              <w:t>Monitored through Partnership Forum and ensuring appropriate staff side representation on decision making forums including EMT and joint HR steering group.</w:t>
            </w:r>
          </w:p>
        </w:tc>
      </w:tr>
    </w:tbl>
    <w:p w:rsidR="00C62E27" w:rsidRDefault="00C62E27" w:rsidP="00E04B83">
      <w:pPr>
        <w:spacing w:beforeLines="20" w:before="48" w:after="0" w:line="276" w:lineRule="auto"/>
        <w:sectPr w:rsidR="00C62E27" w:rsidSect="00AB470C">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Y="2176"/>
        <w:tblW w:w="14029" w:type="dxa"/>
        <w:tblLook w:val="04A0" w:firstRow="1" w:lastRow="0" w:firstColumn="1" w:lastColumn="0" w:noHBand="0" w:noVBand="1"/>
        <w:tblCaption w:val="NHS Health Scotland Corporate Risk Register 2017/18"/>
        <w:tblDescription w:val="The table sets out the 6 risks recorded in NHS Health Scotland Corporate Risk Register 2017/18, the risk category for each risk, the owner, response coordinators and the governance committee the risk is reported to."/>
      </w:tblPr>
      <w:tblGrid>
        <w:gridCol w:w="704"/>
        <w:gridCol w:w="5670"/>
        <w:gridCol w:w="7655"/>
      </w:tblGrid>
      <w:tr w:rsidR="00C62E27" w:rsidRPr="005E26E3" w:rsidTr="00CA17DA">
        <w:trPr>
          <w:trHeight w:val="2105"/>
        </w:trPr>
        <w:tc>
          <w:tcPr>
            <w:tcW w:w="704" w:type="dxa"/>
          </w:tcPr>
          <w:p w:rsidR="00C62E27" w:rsidRDefault="00C62E27" w:rsidP="00E04B83">
            <w:pPr>
              <w:spacing w:beforeLines="20" w:before="48" w:after="0" w:line="276" w:lineRule="auto"/>
            </w:pPr>
            <w:r>
              <w:lastRenderedPageBreak/>
              <w:t>19-5</w:t>
            </w:r>
          </w:p>
        </w:tc>
        <w:tc>
          <w:tcPr>
            <w:tcW w:w="5670" w:type="dxa"/>
          </w:tcPr>
          <w:p w:rsidR="00C62E27" w:rsidRPr="00570073" w:rsidRDefault="00C62E27" w:rsidP="00E04B83">
            <w:pPr>
              <w:pStyle w:val="Default"/>
              <w:spacing w:beforeLines="20" w:before="48" w:line="276" w:lineRule="auto"/>
            </w:pPr>
            <w:r w:rsidRPr="00570073">
              <w:t>As</w:t>
            </w:r>
            <w:r w:rsidRPr="00570073">
              <w:rPr>
                <w:spacing w:val="-7"/>
              </w:rPr>
              <w:t xml:space="preserve"> </w:t>
            </w:r>
            <w:r w:rsidRPr="00570073">
              <w:t>a</w:t>
            </w:r>
            <w:r w:rsidRPr="00570073">
              <w:rPr>
                <w:spacing w:val="-3"/>
              </w:rPr>
              <w:t xml:space="preserve"> </w:t>
            </w:r>
            <w:r w:rsidRPr="00570073">
              <w:t>result</w:t>
            </w:r>
            <w:r w:rsidRPr="00570073">
              <w:rPr>
                <w:spacing w:val="-5"/>
              </w:rPr>
              <w:t xml:space="preserve"> </w:t>
            </w:r>
            <w:r w:rsidRPr="00570073">
              <w:t>of</w:t>
            </w:r>
            <w:r w:rsidRPr="00570073">
              <w:rPr>
                <w:spacing w:val="-4"/>
              </w:rPr>
              <w:t xml:space="preserve"> </w:t>
            </w:r>
            <w:r w:rsidRPr="00570073">
              <w:t>the</w:t>
            </w:r>
            <w:r w:rsidRPr="00570073">
              <w:rPr>
                <w:spacing w:val="-6"/>
              </w:rPr>
              <w:t xml:space="preserve"> </w:t>
            </w:r>
            <w:r w:rsidRPr="00570073">
              <w:t>impacts</w:t>
            </w:r>
            <w:r w:rsidRPr="00570073">
              <w:rPr>
                <w:spacing w:val="-5"/>
              </w:rPr>
              <w:t xml:space="preserve"> </w:t>
            </w:r>
            <w:r w:rsidRPr="00570073">
              <w:t>or</w:t>
            </w:r>
            <w:r w:rsidRPr="00570073">
              <w:rPr>
                <w:spacing w:val="-5"/>
              </w:rPr>
              <w:t xml:space="preserve"> </w:t>
            </w:r>
            <w:r w:rsidRPr="00570073">
              <w:t>perceived</w:t>
            </w:r>
            <w:r w:rsidRPr="00570073">
              <w:rPr>
                <w:spacing w:val="-3"/>
              </w:rPr>
              <w:t xml:space="preserve"> </w:t>
            </w:r>
            <w:r w:rsidRPr="00570073">
              <w:t>impacts</w:t>
            </w:r>
            <w:r w:rsidRPr="00570073">
              <w:rPr>
                <w:spacing w:val="-5"/>
              </w:rPr>
              <w:t xml:space="preserve"> </w:t>
            </w:r>
            <w:r w:rsidRPr="00570073">
              <w:t>on</w:t>
            </w:r>
            <w:r w:rsidRPr="00570073">
              <w:rPr>
                <w:spacing w:val="-3"/>
              </w:rPr>
              <w:t xml:space="preserve"> </w:t>
            </w:r>
            <w:r w:rsidRPr="00570073">
              <w:t>staff</w:t>
            </w:r>
            <w:r w:rsidRPr="00570073">
              <w:rPr>
                <w:spacing w:val="-5"/>
              </w:rPr>
              <w:t xml:space="preserve"> </w:t>
            </w:r>
            <w:r w:rsidRPr="00570073">
              <w:t>of</w:t>
            </w:r>
            <w:r w:rsidRPr="00570073">
              <w:rPr>
                <w:spacing w:val="-4"/>
              </w:rPr>
              <w:t xml:space="preserve"> </w:t>
            </w:r>
            <w:r w:rsidRPr="00570073">
              <w:t>the changes planned through the creation of Public Health Scotland and associated arrangements, there is a risk of an impact on productivity and staff turnover, and so we do not deliver all our commitments for</w:t>
            </w:r>
            <w:r w:rsidRPr="00570073">
              <w:rPr>
                <w:spacing w:val="-9"/>
              </w:rPr>
              <w:t xml:space="preserve"> </w:t>
            </w:r>
            <w:r w:rsidRPr="00570073">
              <w:t>2019/20.</w:t>
            </w:r>
          </w:p>
        </w:tc>
        <w:tc>
          <w:tcPr>
            <w:tcW w:w="7655" w:type="dxa"/>
          </w:tcPr>
          <w:p w:rsidR="00C62E27" w:rsidRPr="00570073" w:rsidRDefault="00C62E27" w:rsidP="00265D9C">
            <w:pPr>
              <w:pStyle w:val="ListParagraph"/>
              <w:numPr>
                <w:ilvl w:val="0"/>
                <w:numId w:val="5"/>
              </w:numPr>
              <w:spacing w:beforeLines="20" w:before="48" w:after="0" w:line="276" w:lineRule="auto"/>
            </w:pPr>
            <w:r w:rsidRPr="00570073">
              <w:t xml:space="preserve">Staff absence, turnover and engagement levels </w:t>
            </w:r>
            <w:r w:rsidR="00CC156E">
              <w:t xml:space="preserve">are </w:t>
            </w:r>
            <w:r w:rsidRPr="00570073">
              <w:t xml:space="preserve">monitored through </w:t>
            </w:r>
            <w:r w:rsidR="00CC156E">
              <w:t xml:space="preserve">the Partnership Forum, and through </w:t>
            </w:r>
            <w:r w:rsidRPr="00570073">
              <w:t xml:space="preserve">output progress monthly on </w:t>
            </w:r>
            <w:r w:rsidR="00CC156E">
              <w:t xml:space="preserve">the </w:t>
            </w:r>
            <w:r w:rsidRPr="00570073">
              <w:t>CPT</w:t>
            </w:r>
            <w:r w:rsidR="00CC156E">
              <w:t>.</w:t>
            </w:r>
          </w:p>
        </w:tc>
      </w:tr>
      <w:tr w:rsidR="00C62E27" w:rsidRPr="005E26E3" w:rsidTr="00CA17DA">
        <w:trPr>
          <w:trHeight w:val="1553"/>
        </w:trPr>
        <w:tc>
          <w:tcPr>
            <w:tcW w:w="704" w:type="dxa"/>
          </w:tcPr>
          <w:p w:rsidR="00C62E27" w:rsidRDefault="00C62E27" w:rsidP="00E04B83">
            <w:pPr>
              <w:spacing w:beforeLines="20" w:before="48" w:after="0" w:line="276" w:lineRule="auto"/>
            </w:pPr>
            <w:r>
              <w:t>19-6</w:t>
            </w:r>
          </w:p>
        </w:tc>
        <w:tc>
          <w:tcPr>
            <w:tcW w:w="5670" w:type="dxa"/>
          </w:tcPr>
          <w:p w:rsidR="00C62E27" w:rsidRPr="00570073" w:rsidRDefault="00C62E27" w:rsidP="00E04B83">
            <w:pPr>
              <w:pStyle w:val="Default"/>
              <w:spacing w:beforeLines="20" w:before="48" w:line="276" w:lineRule="auto"/>
            </w:pPr>
            <w:r w:rsidRPr="00570073">
              <w:t>As a result of not retaining influence with and support from important stakeholders in the transition year, there is a risk that</w:t>
            </w:r>
            <w:r w:rsidRPr="00570073">
              <w:rPr>
                <w:spacing w:val="-45"/>
              </w:rPr>
              <w:t xml:space="preserve"> </w:t>
            </w:r>
            <w:r w:rsidRPr="00570073">
              <w:t>our key messages and core agenda are not carried over as powerfully into Public Health Scotland, reducing its credibility and impact</w:t>
            </w:r>
            <w:r w:rsidRPr="00570073">
              <w:rPr>
                <w:spacing w:val="-9"/>
              </w:rPr>
              <w:t xml:space="preserve"> </w:t>
            </w:r>
            <w:r w:rsidRPr="00570073">
              <w:t>in reducing health inequalities.</w:t>
            </w:r>
          </w:p>
        </w:tc>
        <w:tc>
          <w:tcPr>
            <w:tcW w:w="7655" w:type="dxa"/>
          </w:tcPr>
          <w:p w:rsidR="00C62E27" w:rsidRPr="00570073" w:rsidRDefault="00C62E27" w:rsidP="00265D9C">
            <w:pPr>
              <w:pStyle w:val="ListParagraph"/>
              <w:widowControl w:val="0"/>
              <w:numPr>
                <w:ilvl w:val="0"/>
                <w:numId w:val="5"/>
              </w:numPr>
              <w:tabs>
                <w:tab w:val="left" w:pos="1200"/>
              </w:tabs>
              <w:autoSpaceDE w:val="0"/>
              <w:autoSpaceDN w:val="0"/>
              <w:spacing w:beforeLines="20" w:before="48" w:after="0" w:line="276" w:lineRule="auto"/>
              <w:contextualSpacing w:val="0"/>
            </w:pPr>
            <w:r w:rsidRPr="00570073">
              <w:t xml:space="preserve">High profile print and broadcast media coverage on our strategic priority areas: MESAS, School Food Regulations, MUP and Life Expectancy.   </w:t>
            </w:r>
          </w:p>
          <w:p w:rsidR="00C62E27" w:rsidRPr="00570073" w:rsidRDefault="00C62E27" w:rsidP="00265D9C">
            <w:pPr>
              <w:pStyle w:val="ListParagraph"/>
              <w:widowControl w:val="0"/>
              <w:numPr>
                <w:ilvl w:val="0"/>
                <w:numId w:val="5"/>
              </w:numPr>
              <w:tabs>
                <w:tab w:val="left" w:pos="1200"/>
              </w:tabs>
              <w:autoSpaceDE w:val="0"/>
              <w:autoSpaceDN w:val="0"/>
              <w:spacing w:beforeLines="20" w:before="48" w:after="0" w:line="276" w:lineRule="auto"/>
              <w:contextualSpacing w:val="0"/>
            </w:pPr>
            <w:r w:rsidRPr="00570073">
              <w:t>Trade publication coverage in Holyrood Magazine (print &amp; digital).</w:t>
            </w:r>
          </w:p>
          <w:p w:rsidR="00C62E27" w:rsidRPr="00570073" w:rsidRDefault="00C62E27" w:rsidP="00265D9C">
            <w:pPr>
              <w:pStyle w:val="ListParagraph"/>
              <w:widowControl w:val="0"/>
              <w:numPr>
                <w:ilvl w:val="0"/>
                <w:numId w:val="5"/>
              </w:numPr>
              <w:tabs>
                <w:tab w:val="left" w:pos="1200"/>
              </w:tabs>
              <w:autoSpaceDE w:val="0"/>
              <w:autoSpaceDN w:val="0"/>
              <w:spacing w:beforeLines="20" w:before="48" w:after="0" w:line="276" w:lineRule="auto"/>
              <w:contextualSpacing w:val="0"/>
            </w:pPr>
            <w:r w:rsidRPr="00570073">
              <w:t>Successful hosting of industry events e.g. ‘Making Place’ International Conference on place and the Place Standard in partnership with the WHO Regional Office for Europe.</w:t>
            </w:r>
          </w:p>
          <w:p w:rsidR="00C62E27" w:rsidRPr="00570073" w:rsidRDefault="00C62E27" w:rsidP="00265D9C">
            <w:pPr>
              <w:pStyle w:val="ListParagraph"/>
              <w:widowControl w:val="0"/>
              <w:numPr>
                <w:ilvl w:val="0"/>
                <w:numId w:val="5"/>
              </w:numPr>
              <w:tabs>
                <w:tab w:val="left" w:pos="1200"/>
              </w:tabs>
              <w:autoSpaceDE w:val="0"/>
              <w:autoSpaceDN w:val="0"/>
              <w:spacing w:beforeLines="20" w:before="48" w:after="0" w:line="276" w:lineRule="auto"/>
              <w:contextualSpacing w:val="0"/>
            </w:pPr>
            <w:r w:rsidRPr="00570073">
              <w:t>Launching new materials e.g. mental health and suicide prevention learning resources with the Minster for Mental Health and other NHS Boards.</w:t>
            </w:r>
          </w:p>
          <w:p w:rsidR="00C62E27" w:rsidRPr="00570073" w:rsidRDefault="00C62E27" w:rsidP="00265D9C">
            <w:pPr>
              <w:pStyle w:val="ListParagraph"/>
              <w:widowControl w:val="0"/>
              <w:numPr>
                <w:ilvl w:val="0"/>
                <w:numId w:val="5"/>
              </w:numPr>
              <w:tabs>
                <w:tab w:val="left" w:pos="1200"/>
              </w:tabs>
              <w:autoSpaceDE w:val="0"/>
              <w:autoSpaceDN w:val="0"/>
              <w:spacing w:beforeLines="20" w:before="48" w:after="0" w:line="276" w:lineRule="auto"/>
              <w:contextualSpacing w:val="0"/>
            </w:pPr>
            <w:r w:rsidRPr="00570073">
              <w:t>Positioning statements (with partners) on our key priority areas e.g. Human Rights and Poverty.</w:t>
            </w:r>
          </w:p>
          <w:p w:rsidR="00C62E27" w:rsidRPr="00570073" w:rsidRDefault="00C62E27" w:rsidP="00265D9C">
            <w:pPr>
              <w:pStyle w:val="ListParagraph"/>
              <w:widowControl w:val="0"/>
              <w:numPr>
                <w:ilvl w:val="0"/>
                <w:numId w:val="5"/>
              </w:numPr>
              <w:tabs>
                <w:tab w:val="left" w:pos="1200"/>
              </w:tabs>
              <w:autoSpaceDE w:val="0"/>
              <w:autoSpaceDN w:val="0"/>
              <w:spacing w:beforeLines="20" w:before="48" w:after="0" w:line="276" w:lineRule="auto"/>
              <w:contextualSpacing w:val="0"/>
            </w:pPr>
            <w:r w:rsidRPr="00570073">
              <w:t xml:space="preserve">Submission to the UK Parliament Scottish Affairs Committee Inquiry: Use and Misuse of Drugs in Scotland – resulting in </w:t>
            </w:r>
            <w:r w:rsidR="00CC156E">
              <w:t xml:space="preserve">the provision of oral evidence to the </w:t>
            </w:r>
            <w:r w:rsidRPr="00570073">
              <w:t>Committee.</w:t>
            </w:r>
          </w:p>
          <w:p w:rsidR="00C62E27" w:rsidRPr="008446AA" w:rsidRDefault="00C62E27" w:rsidP="00265D9C">
            <w:pPr>
              <w:pStyle w:val="ListParagraph"/>
              <w:numPr>
                <w:ilvl w:val="0"/>
                <w:numId w:val="5"/>
              </w:numPr>
              <w:spacing w:beforeLines="20" w:before="48" w:after="0" w:line="276" w:lineRule="auto"/>
            </w:pPr>
            <w:r w:rsidRPr="00570073">
              <w:t>Monitoring our overall external activity.</w:t>
            </w:r>
            <w:r w:rsidRPr="006961B4">
              <w:rPr>
                <w:sz w:val="18"/>
                <w:szCs w:val="18"/>
              </w:rPr>
              <w:t xml:space="preserve">                                 </w:t>
            </w:r>
          </w:p>
        </w:tc>
      </w:tr>
    </w:tbl>
    <w:p w:rsidR="00C62E27" w:rsidRDefault="00C62E27" w:rsidP="00E04B83">
      <w:pPr>
        <w:spacing w:beforeLines="20" w:before="48" w:after="0" w:line="276" w:lineRule="auto"/>
        <w:rPr>
          <w:b/>
        </w:rPr>
      </w:pPr>
    </w:p>
    <w:p w:rsidR="00414211" w:rsidRDefault="00414211" w:rsidP="00E04B83">
      <w:pPr>
        <w:pStyle w:val="Ahead"/>
        <w:spacing w:beforeLines="20" w:before="48" w:after="0" w:line="276" w:lineRule="auto"/>
        <w:sectPr w:rsidR="00414211" w:rsidSect="00AB470C">
          <w:pgSz w:w="16838" w:h="11906" w:orient="landscape"/>
          <w:pgMar w:top="1440" w:right="1440" w:bottom="1440" w:left="1440" w:header="708" w:footer="708" w:gutter="0"/>
          <w:cols w:space="708"/>
          <w:docGrid w:linePitch="360"/>
        </w:sectPr>
      </w:pPr>
    </w:p>
    <w:p w:rsidR="00414211" w:rsidRDefault="00414211" w:rsidP="00E04B83">
      <w:pPr>
        <w:pStyle w:val="Ahead"/>
        <w:spacing w:beforeLines="20" w:before="48" w:after="0" w:line="276" w:lineRule="auto"/>
      </w:pPr>
      <w:bookmarkStart w:id="11" w:name="_Toc18312843"/>
      <w:r>
        <w:lastRenderedPageBreak/>
        <w:t xml:space="preserve">Part </w:t>
      </w:r>
      <w:r w:rsidR="00744A4E">
        <w:t>5</w:t>
      </w:r>
      <w:r>
        <w:t>: Workforce Statistics</w:t>
      </w:r>
      <w:bookmarkEnd w:id="11"/>
    </w:p>
    <w:p w:rsidR="00CA17DA" w:rsidRDefault="00CA17DA" w:rsidP="00E04B83">
      <w:pPr>
        <w:spacing w:beforeLines="20" w:before="48" w:after="0" w:line="276" w:lineRule="auto"/>
        <w:rPr>
          <w:b/>
        </w:rPr>
      </w:pPr>
    </w:p>
    <w:p w:rsidR="00E04B83" w:rsidRPr="00601682" w:rsidRDefault="00E04B83" w:rsidP="00E04B83">
      <w:pPr>
        <w:spacing w:beforeLines="20" w:before="48" w:after="0" w:line="276" w:lineRule="auto"/>
        <w:rPr>
          <w:b/>
        </w:rPr>
      </w:pPr>
      <w:r>
        <w:rPr>
          <w:b/>
        </w:rPr>
        <w:t>S</w:t>
      </w:r>
      <w:r w:rsidRPr="00D6024B">
        <w:rPr>
          <w:b/>
        </w:rPr>
        <w:t xml:space="preserve">taff time </w:t>
      </w:r>
    </w:p>
    <w:p w:rsidR="00CA17DA" w:rsidRDefault="00CA17DA" w:rsidP="00E04B83">
      <w:pPr>
        <w:spacing w:beforeLines="20" w:before="48" w:after="0" w:line="276" w:lineRule="auto"/>
      </w:pPr>
    </w:p>
    <w:p w:rsidR="00E04B83" w:rsidRDefault="00E04B83" w:rsidP="00E04B83">
      <w:pPr>
        <w:spacing w:beforeLines="20" w:before="48" w:after="0" w:line="276" w:lineRule="auto"/>
      </w:pPr>
      <w:r>
        <w:rPr>
          <w:noProof/>
        </w:rPr>
        <w:drawing>
          <wp:inline distT="0" distB="0" distL="0" distR="0" wp14:anchorId="027044F9" wp14:editId="2812B649">
            <wp:extent cx="5274310" cy="4465955"/>
            <wp:effectExtent l="0" t="0" r="254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A17DA" w:rsidRDefault="00CA17DA" w:rsidP="00E04B83">
      <w:pPr>
        <w:pStyle w:val="BodyText1"/>
        <w:spacing w:beforeLines="20" w:before="48" w:line="276" w:lineRule="auto"/>
        <w:ind w:right="-625"/>
      </w:pPr>
    </w:p>
    <w:p w:rsidR="00E04B83" w:rsidRDefault="00E04B83" w:rsidP="00E04B83">
      <w:pPr>
        <w:pStyle w:val="BodyText1"/>
        <w:spacing w:beforeLines="20" w:before="48" w:line="276" w:lineRule="auto"/>
        <w:ind w:right="-625"/>
      </w:pPr>
      <w:r>
        <w:t xml:space="preserve">This chart </w:t>
      </w:r>
      <w:r w:rsidR="00CA17DA">
        <w:t xml:space="preserve">above </w:t>
      </w:r>
      <w:r>
        <w:t>shows the percentage of the total days actually spent within each strategic priority against the percentage of total planned days identified at the conclusion of the planning process.</w:t>
      </w:r>
    </w:p>
    <w:p w:rsidR="00E04B83" w:rsidRDefault="00E04B83" w:rsidP="00E04B83">
      <w:pPr>
        <w:pStyle w:val="BodyText1"/>
        <w:spacing w:beforeLines="20" w:before="48" w:line="276" w:lineRule="auto"/>
        <w:ind w:right="-625"/>
      </w:pPr>
    </w:p>
    <w:p w:rsidR="00E04B83" w:rsidRDefault="00E04B83" w:rsidP="00E04B83">
      <w:pPr>
        <w:spacing w:beforeLines="20" w:before="48" w:after="0" w:line="276" w:lineRule="auto"/>
        <w:ind w:right="-625"/>
      </w:pPr>
      <w:r w:rsidRPr="004C72BE">
        <w:t>At the conclusion of the planning process 31</w:t>
      </w:r>
      <w:r w:rsidR="00CA17DA">
        <w:t>,</w:t>
      </w:r>
      <w:r w:rsidRPr="004C72BE">
        <w:t>998 days</w:t>
      </w:r>
      <w:r w:rsidRPr="003E58A1">
        <w:rPr>
          <w:color w:val="FF0000"/>
        </w:rPr>
        <w:t xml:space="preserve"> </w:t>
      </w:r>
      <w:r w:rsidRPr="004C72BE">
        <w:t xml:space="preserve">had been identified as the total number of planned staff days to achieve each of the outputs contained within their respective Delivery Commitment and overall Strategic Priority.  </w:t>
      </w:r>
    </w:p>
    <w:p w:rsidR="00E04B83" w:rsidRDefault="00E04B83" w:rsidP="00E04B83">
      <w:pPr>
        <w:spacing w:beforeLines="20" w:before="48" w:after="0" w:line="276" w:lineRule="auto"/>
        <w:rPr>
          <w:b/>
        </w:rPr>
      </w:pPr>
    </w:p>
    <w:p w:rsidR="00CA17DA" w:rsidRDefault="00CA17DA">
      <w:pPr>
        <w:spacing w:before="0" w:after="160" w:line="259" w:lineRule="auto"/>
        <w:rPr>
          <w:b/>
        </w:rPr>
      </w:pPr>
      <w:r>
        <w:rPr>
          <w:b/>
        </w:rPr>
        <w:br w:type="page"/>
      </w:r>
    </w:p>
    <w:p w:rsidR="00BF3DFD" w:rsidRDefault="00BF3DFD" w:rsidP="00E04B83">
      <w:pPr>
        <w:spacing w:beforeLines="20" w:before="48" w:after="0" w:line="276" w:lineRule="auto"/>
        <w:rPr>
          <w:color w:val="000000"/>
        </w:rPr>
      </w:pPr>
      <w:r w:rsidRPr="00BF3DFD">
        <w:rPr>
          <w:b/>
        </w:rPr>
        <w:lastRenderedPageBreak/>
        <w:t>Monthly turnover</w:t>
      </w:r>
      <w:r w:rsidRPr="00BF3DFD">
        <w:rPr>
          <w:color w:val="000000"/>
        </w:rPr>
        <w:t xml:space="preserve"> </w:t>
      </w:r>
    </w:p>
    <w:p w:rsidR="00BF3DFD" w:rsidRDefault="00B82750" w:rsidP="00E04B83">
      <w:pPr>
        <w:spacing w:beforeLines="20" w:before="48" w:after="0" w:line="276" w:lineRule="auto"/>
      </w:pPr>
      <w:r>
        <w:rPr>
          <w:noProof/>
        </w:rPr>
        <w:drawing>
          <wp:inline distT="0" distB="0" distL="0" distR="0" wp14:anchorId="66CA38A8" wp14:editId="461DB5E1">
            <wp:extent cx="5731510" cy="3436620"/>
            <wp:effectExtent l="0" t="0" r="254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A17DA" w:rsidRDefault="00CA17DA" w:rsidP="00E04B83">
      <w:pPr>
        <w:spacing w:beforeLines="20" w:before="48" w:after="0" w:line="276" w:lineRule="auto"/>
        <w:rPr>
          <w:b/>
        </w:rPr>
      </w:pPr>
    </w:p>
    <w:p w:rsidR="00BF3DFD" w:rsidRPr="00BF3DFD" w:rsidRDefault="00BF3DFD" w:rsidP="00E04B83">
      <w:pPr>
        <w:spacing w:beforeLines="20" w:before="48" w:after="0" w:line="276" w:lineRule="auto"/>
        <w:rPr>
          <w:b/>
        </w:rPr>
      </w:pPr>
      <w:r w:rsidRPr="00BF3DFD">
        <w:rPr>
          <w:b/>
        </w:rPr>
        <w:t>Sickness absence</w:t>
      </w:r>
    </w:p>
    <w:p w:rsidR="00BF3DFD" w:rsidRDefault="00B578AD" w:rsidP="00E04B83">
      <w:pPr>
        <w:spacing w:beforeLines="20" w:before="48" w:after="0" w:line="276" w:lineRule="auto"/>
      </w:pPr>
      <w:r>
        <w:rPr>
          <w:noProof/>
        </w:rPr>
        <mc:AlternateContent>
          <mc:Choice Requires="wps">
            <w:drawing>
              <wp:anchor distT="0" distB="0" distL="114300" distR="114300" simplePos="0" relativeHeight="251659264" behindDoc="0" locked="0" layoutInCell="1" allowOverlap="1" wp14:anchorId="13E538C1" wp14:editId="32B49E0A">
                <wp:simplePos x="0" y="0"/>
                <wp:positionH relativeFrom="margin">
                  <wp:posOffset>2168236</wp:posOffset>
                </wp:positionH>
                <wp:positionV relativeFrom="paragraph">
                  <wp:posOffset>470593</wp:posOffset>
                </wp:positionV>
                <wp:extent cx="1349375" cy="390525"/>
                <wp:effectExtent l="0" t="0" r="0" b="0"/>
                <wp:wrapNone/>
                <wp:docPr id="60" name="Rectangle 60"/>
                <wp:cNvGraphicFramePr/>
                <a:graphic xmlns:a="http://schemas.openxmlformats.org/drawingml/2006/main">
                  <a:graphicData uri="http://schemas.microsoft.com/office/word/2010/wordprocessingShape">
                    <wps:wsp>
                      <wps:cNvSpPr/>
                      <wps:spPr>
                        <a:xfrm>
                          <a:off x="0" y="0"/>
                          <a:ext cx="13493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A49" w:rsidRPr="005F36C0" w:rsidRDefault="00BE6A49" w:rsidP="00BE6A49">
                            <w:pPr>
                              <w:pStyle w:val="BodyText1"/>
                              <w:rPr>
                                <w:rFonts w:ascii="Calibri" w:hAnsi="Calibri" w:cs="Calibri"/>
                                <w:color w:val="000000" w:themeColor="text1"/>
                                <w:sz w:val="18"/>
                                <w:szCs w:val="18"/>
                              </w:rPr>
                            </w:pPr>
                            <w:r w:rsidRPr="005F36C0">
                              <w:rPr>
                                <w:rFonts w:ascii="Calibri" w:hAnsi="Calibri" w:cs="Calibri"/>
                                <w:color w:val="000000" w:themeColor="text1"/>
                                <w:sz w:val="18"/>
                                <w:szCs w:val="18"/>
                              </w:rPr>
                              <w:t>Median N</w:t>
                            </w:r>
                            <w:r w:rsidR="00B578AD">
                              <w:rPr>
                                <w:rFonts w:ascii="Calibri" w:hAnsi="Calibri" w:cs="Calibri"/>
                                <w:color w:val="000000" w:themeColor="text1"/>
                                <w:sz w:val="18"/>
                                <w:szCs w:val="18"/>
                              </w:rPr>
                              <w:t>HSScotland</w:t>
                            </w:r>
                            <w:r w:rsidRPr="005F36C0">
                              <w:rPr>
                                <w:rFonts w:ascii="Calibri" w:hAnsi="Calibri" w:cs="Calibri"/>
                                <w:color w:val="000000" w:themeColor="text1"/>
                                <w:sz w:val="18"/>
                                <w:szCs w:val="18"/>
                              </w:rPr>
                              <w:t xml:space="preserve">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538C1" id="Rectangle 60" o:spid="_x0000_s1026" style="position:absolute;margin-left:170.75pt;margin-top:37.05pt;width:106.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" filled="f" stroked="f" strokeweight="1pt">
                <v:textbox>
                  <w:txbxContent>
                    <w:p w:rsidR="00BE6A49" w:rsidRPr="005F36C0" w:rsidRDefault="00BE6A49" w:rsidP="00BE6A49">
                      <w:pPr>
                        <w:pStyle w:val="BodyText1"/>
                        <w:rPr>
                          <w:rFonts w:ascii="Calibri" w:hAnsi="Calibri" w:cs="Calibri"/>
                          <w:color w:val="000000" w:themeColor="text1"/>
                          <w:sz w:val="18"/>
                          <w:szCs w:val="18"/>
                        </w:rPr>
                      </w:pPr>
                      <w:r w:rsidRPr="005F36C0">
                        <w:rPr>
                          <w:rFonts w:ascii="Calibri" w:hAnsi="Calibri" w:cs="Calibri"/>
                          <w:color w:val="000000" w:themeColor="text1"/>
                          <w:sz w:val="18"/>
                          <w:szCs w:val="18"/>
                        </w:rPr>
                        <w:t>Median N</w:t>
                      </w:r>
                      <w:r w:rsidR="00B578AD">
                        <w:rPr>
                          <w:rFonts w:ascii="Calibri" w:hAnsi="Calibri" w:cs="Calibri"/>
                          <w:color w:val="000000" w:themeColor="text1"/>
                          <w:sz w:val="18"/>
                          <w:szCs w:val="18"/>
                        </w:rPr>
                        <w:t>HSScotland</w:t>
                      </w:r>
                      <w:r w:rsidRPr="005F36C0">
                        <w:rPr>
                          <w:rFonts w:ascii="Calibri" w:hAnsi="Calibri" w:cs="Calibri"/>
                          <w:color w:val="000000" w:themeColor="text1"/>
                          <w:sz w:val="18"/>
                          <w:szCs w:val="18"/>
                        </w:rPr>
                        <w:t xml:space="preserve"> Absence</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3B35DA1A" wp14:editId="4D1E786F">
                <wp:simplePos x="0" y="0"/>
                <wp:positionH relativeFrom="margin">
                  <wp:posOffset>1627909</wp:posOffset>
                </wp:positionH>
                <wp:positionV relativeFrom="paragraph">
                  <wp:posOffset>2160732</wp:posOffset>
                </wp:positionV>
                <wp:extent cx="1191491" cy="390525"/>
                <wp:effectExtent l="0" t="0" r="0" b="0"/>
                <wp:wrapNone/>
                <wp:docPr id="27" name="Rectangle 27"/>
                <wp:cNvGraphicFramePr/>
                <a:graphic xmlns:a="http://schemas.openxmlformats.org/drawingml/2006/main">
                  <a:graphicData uri="http://schemas.microsoft.com/office/word/2010/wordprocessingShape">
                    <wps:wsp>
                      <wps:cNvSpPr/>
                      <wps:spPr>
                        <a:xfrm>
                          <a:off x="0" y="0"/>
                          <a:ext cx="1191491"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78AD" w:rsidRPr="005F36C0" w:rsidRDefault="00B578AD" w:rsidP="00B578AD">
                            <w:pPr>
                              <w:pStyle w:val="BodyText1"/>
                              <w:rPr>
                                <w:rFonts w:ascii="Calibri" w:hAnsi="Calibri" w:cs="Calibri"/>
                                <w:color w:val="000000" w:themeColor="text1"/>
                                <w:sz w:val="18"/>
                                <w:szCs w:val="18"/>
                              </w:rPr>
                            </w:pPr>
                            <w:r w:rsidRPr="005F36C0">
                              <w:rPr>
                                <w:rFonts w:ascii="Calibri" w:hAnsi="Calibri" w:cs="Calibri"/>
                                <w:color w:val="000000" w:themeColor="text1"/>
                                <w:sz w:val="18"/>
                                <w:szCs w:val="18"/>
                              </w:rPr>
                              <w:t xml:space="preserve">Median </w:t>
                            </w:r>
                            <w:r>
                              <w:rPr>
                                <w:rFonts w:ascii="Calibri" w:hAnsi="Calibri" w:cs="Calibri"/>
                                <w:color w:val="000000" w:themeColor="text1"/>
                                <w:sz w:val="18"/>
                                <w:szCs w:val="18"/>
                              </w:rPr>
                              <w:t xml:space="preserve">NHS Health Scotland </w:t>
                            </w:r>
                            <w:r w:rsidRPr="005F36C0">
                              <w:rPr>
                                <w:rFonts w:ascii="Calibri" w:hAnsi="Calibri" w:cs="Calibri"/>
                                <w:color w:val="000000" w:themeColor="text1"/>
                                <w:sz w:val="18"/>
                                <w:szCs w:val="18"/>
                              </w:rPr>
                              <w:t>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5DA1A" id="Rectangle 27" o:spid="_x0000_s1027" style="position:absolute;margin-left:128.2pt;margin-top:170.15pt;width:93.8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" filled="f" stroked="f" strokeweight="1pt">
                <v:textbox>
                  <w:txbxContent>
                    <w:p w:rsidR="00B578AD" w:rsidRPr="005F36C0" w:rsidRDefault="00B578AD" w:rsidP="00B578AD">
                      <w:pPr>
                        <w:pStyle w:val="BodyText1"/>
                        <w:rPr>
                          <w:rFonts w:ascii="Calibri" w:hAnsi="Calibri" w:cs="Calibri"/>
                          <w:color w:val="000000" w:themeColor="text1"/>
                          <w:sz w:val="18"/>
                          <w:szCs w:val="18"/>
                        </w:rPr>
                      </w:pPr>
                      <w:r w:rsidRPr="005F36C0">
                        <w:rPr>
                          <w:rFonts w:ascii="Calibri" w:hAnsi="Calibri" w:cs="Calibri"/>
                          <w:color w:val="000000" w:themeColor="text1"/>
                          <w:sz w:val="18"/>
                          <w:szCs w:val="18"/>
                        </w:rPr>
                        <w:t xml:space="preserve">Median </w:t>
                      </w:r>
                      <w:r>
                        <w:rPr>
                          <w:rFonts w:ascii="Calibri" w:hAnsi="Calibri" w:cs="Calibri"/>
                          <w:color w:val="000000" w:themeColor="text1"/>
                          <w:sz w:val="18"/>
                          <w:szCs w:val="18"/>
                        </w:rPr>
                        <w:t xml:space="preserve">NHS Health Scotland </w:t>
                      </w:r>
                      <w:r w:rsidRPr="005F36C0">
                        <w:rPr>
                          <w:rFonts w:ascii="Calibri" w:hAnsi="Calibri" w:cs="Calibri"/>
                          <w:color w:val="000000" w:themeColor="text1"/>
                          <w:sz w:val="18"/>
                          <w:szCs w:val="18"/>
                        </w:rPr>
                        <w:t>Absence</w:t>
                      </w:r>
                    </w:p>
                  </w:txbxContent>
                </v:textbox>
                <w10:wrap anchorx="margin"/>
              </v:rect>
            </w:pict>
          </mc:Fallback>
        </mc:AlternateContent>
      </w:r>
      <w:r w:rsidR="00B82750">
        <w:rPr>
          <w:noProof/>
        </w:rPr>
        <w:drawing>
          <wp:inline distT="0" distB="0" distL="0" distR="0" wp14:anchorId="48AAD8EF" wp14:editId="619D9EDB">
            <wp:extent cx="5731510" cy="3299460"/>
            <wp:effectExtent l="0" t="0" r="254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E6A49" w:rsidRDefault="00BE6A49" w:rsidP="00E04B83">
      <w:pPr>
        <w:spacing w:beforeLines="20" w:before="48" w:after="0" w:line="276" w:lineRule="auto"/>
      </w:pPr>
    </w:p>
    <w:p w:rsidR="005F7109" w:rsidRDefault="005F7109" w:rsidP="00E04B83">
      <w:pPr>
        <w:spacing w:beforeLines="20" w:before="48" w:after="0" w:line="276" w:lineRule="auto"/>
        <w:sectPr w:rsidR="005F7109">
          <w:pgSz w:w="11906" w:h="16838"/>
          <w:pgMar w:top="1440" w:right="1440" w:bottom="1440" w:left="1440" w:header="708" w:footer="708" w:gutter="0"/>
          <w:cols w:space="708"/>
          <w:docGrid w:linePitch="360"/>
        </w:sectPr>
      </w:pPr>
    </w:p>
    <w:p w:rsidR="005F7109" w:rsidRDefault="005F7109" w:rsidP="005F7109">
      <w:pPr>
        <w:pStyle w:val="Ahead"/>
        <w:spacing w:beforeLines="20" w:before="48" w:after="0" w:line="276" w:lineRule="auto"/>
      </w:pPr>
      <w:bookmarkStart w:id="12" w:name="_Toc18312844"/>
      <w:r>
        <w:lastRenderedPageBreak/>
        <w:t>Part 5: Finance Report</w:t>
      </w:r>
      <w:bookmarkEnd w:id="12"/>
    </w:p>
    <w:p w:rsidR="005F7109" w:rsidRDefault="005F7109" w:rsidP="005F7109">
      <w:pPr>
        <w:pStyle w:val="BodyText1"/>
        <w:rPr>
          <w:b/>
        </w:rPr>
      </w:pPr>
    </w:p>
    <w:p w:rsidR="005F7109" w:rsidRDefault="005F7109" w:rsidP="005F7109">
      <w:pPr>
        <w:pStyle w:val="BodyText1"/>
        <w:rPr>
          <w:b/>
        </w:rPr>
      </w:pPr>
      <w:r w:rsidRPr="00387DA8">
        <w:rPr>
          <w:b/>
        </w:rPr>
        <w:t>QTR 1 – 30 June 2019</w:t>
      </w:r>
    </w:p>
    <w:p w:rsidR="005F7109" w:rsidRPr="0079724F" w:rsidRDefault="005F7109" w:rsidP="005F7109">
      <w:pPr>
        <w:pStyle w:val="BodyText1"/>
        <w:rPr>
          <w:b/>
        </w:rPr>
      </w:pPr>
    </w:p>
    <w:p w:rsidR="005F7109" w:rsidRDefault="005F7109" w:rsidP="005F7109">
      <w:pPr>
        <w:pStyle w:val="BodyText1"/>
      </w:pPr>
      <w:r>
        <w:t xml:space="preserve">I have changed the financial reporting format for 2019/20, as per pages 2 – 4 of this report to show </w:t>
      </w:r>
    </w:p>
    <w:p w:rsidR="005F7109" w:rsidRDefault="005F7109" w:rsidP="005F7109">
      <w:pPr>
        <w:pStyle w:val="BodyText1"/>
        <w:numPr>
          <w:ilvl w:val="0"/>
          <w:numId w:val="18"/>
        </w:numPr>
      </w:pPr>
      <w:r>
        <w:t xml:space="preserve">Changes from the original financial plan to our revised budget and reports on the FY forecast against the revised budget. </w:t>
      </w:r>
    </w:p>
    <w:p w:rsidR="005F7109" w:rsidRDefault="005F7109" w:rsidP="005F7109">
      <w:pPr>
        <w:pStyle w:val="BodyText1"/>
        <w:numPr>
          <w:ilvl w:val="0"/>
          <w:numId w:val="18"/>
        </w:numPr>
      </w:pPr>
      <w:r>
        <w:t xml:space="preserve">Reporting on the YTD report on actuals to the revised budget. More detailed reporting will be made monthly to the CMT </w:t>
      </w:r>
    </w:p>
    <w:p w:rsidR="005F7109" w:rsidRDefault="005F7109" w:rsidP="005F7109">
      <w:pPr>
        <w:pStyle w:val="BodyText1"/>
      </w:pPr>
    </w:p>
    <w:p w:rsidR="005F7109" w:rsidRPr="00747FB2" w:rsidRDefault="005F7109" w:rsidP="005F7109">
      <w:pPr>
        <w:pStyle w:val="BodyText1"/>
        <w:rPr>
          <w:b/>
        </w:rPr>
      </w:pPr>
      <w:r w:rsidRPr="00747FB2">
        <w:rPr>
          <w:b/>
        </w:rPr>
        <w:t>Key Points</w:t>
      </w:r>
    </w:p>
    <w:p w:rsidR="005F7109" w:rsidRDefault="005F7109" w:rsidP="005F7109">
      <w:pPr>
        <w:pStyle w:val="BodyText1"/>
        <w:rPr>
          <w:b/>
        </w:rPr>
      </w:pPr>
      <w:r w:rsidRPr="00747FB2">
        <w:rPr>
          <w:b/>
        </w:rPr>
        <w:t>1 QTR 1 – small underspend of £84k mainly due to project timing</w:t>
      </w:r>
    </w:p>
    <w:p w:rsidR="005F7109" w:rsidRPr="00747FB2" w:rsidRDefault="005F7109" w:rsidP="005F7109">
      <w:pPr>
        <w:pStyle w:val="BodyText1"/>
        <w:rPr>
          <w:b/>
        </w:rPr>
      </w:pPr>
    </w:p>
    <w:p w:rsidR="005F7109" w:rsidRDefault="005F7109" w:rsidP="005F7109">
      <w:pPr>
        <w:pStyle w:val="BodyText1"/>
        <w:rPr>
          <w:b/>
        </w:rPr>
      </w:pPr>
      <w:r w:rsidRPr="00747FB2">
        <w:rPr>
          <w:b/>
        </w:rPr>
        <w:t xml:space="preserve">2 FY Forecast – small </w:t>
      </w:r>
      <w:r>
        <w:rPr>
          <w:b/>
        </w:rPr>
        <w:t xml:space="preserve">net </w:t>
      </w:r>
      <w:r w:rsidRPr="00747FB2">
        <w:rPr>
          <w:b/>
        </w:rPr>
        <w:t>underspend of £14k predicted</w:t>
      </w:r>
      <w:r>
        <w:rPr>
          <w:b/>
        </w:rPr>
        <w:t xml:space="preserve"> as staff costs may exceed budget by £87k but projects predicted mainly through surrenders to provide savings of £101k.</w:t>
      </w:r>
    </w:p>
    <w:p w:rsidR="005F7109" w:rsidRPr="00747FB2" w:rsidRDefault="005F7109" w:rsidP="005F7109">
      <w:pPr>
        <w:pStyle w:val="BodyText1"/>
        <w:rPr>
          <w:b/>
        </w:rPr>
      </w:pPr>
    </w:p>
    <w:p w:rsidR="005F7109" w:rsidRPr="00747FB2" w:rsidRDefault="005F7109" w:rsidP="005F7109">
      <w:pPr>
        <w:pStyle w:val="BodyText1"/>
        <w:rPr>
          <w:b/>
        </w:rPr>
      </w:pPr>
      <w:r w:rsidRPr="00747FB2">
        <w:rPr>
          <w:b/>
        </w:rPr>
        <w:t>3 Pay funding and increased employer pension funding shortfalls</w:t>
      </w:r>
    </w:p>
    <w:p w:rsidR="005F7109" w:rsidRDefault="005F7109" w:rsidP="005F7109">
      <w:pPr>
        <w:pStyle w:val="BodyText1"/>
      </w:pPr>
      <w:r>
        <w:t>Shortfalls in pay funding of £37k and employer pension £84k has increased our staff savings target from £270k to £391k.</w:t>
      </w:r>
    </w:p>
    <w:p w:rsidR="005F7109" w:rsidRDefault="005F7109" w:rsidP="005F7109">
      <w:pPr>
        <w:pStyle w:val="BodyText1"/>
      </w:pPr>
      <w:r>
        <w:t>Staff savings of £304k against this target have been achieved to date by a mixture of seconded posts not being backfilled, vacant posts no longer required, and reduced working hours of some staff.</w:t>
      </w:r>
    </w:p>
    <w:p w:rsidR="005F7109" w:rsidRDefault="005F7109" w:rsidP="005F7109">
      <w:pPr>
        <w:pStyle w:val="BodyText1"/>
      </w:pPr>
    </w:p>
    <w:p w:rsidR="005F7109" w:rsidRPr="00747FB2" w:rsidRDefault="005F7109" w:rsidP="005F7109">
      <w:pPr>
        <w:pStyle w:val="BodyText1"/>
        <w:rPr>
          <w:b/>
        </w:rPr>
      </w:pPr>
      <w:r w:rsidRPr="00747FB2">
        <w:rPr>
          <w:b/>
        </w:rPr>
        <w:t>4 Vacancy Factor increase to fund deferred projects</w:t>
      </w:r>
    </w:p>
    <w:p w:rsidR="005F7109" w:rsidRDefault="005F7109" w:rsidP="005F7109">
      <w:pPr>
        <w:pStyle w:val="BodyText1"/>
      </w:pPr>
      <w:r>
        <w:t>Based on a review of our vacancy levels in 2018/19 and those predicted in 2019/20 being in overall terms a continuation of higher than average vacancy levels we have increased our vacancy factor from 6.25% (£968k saving on gross staff costs) by 2.5% (£384k). The release of this budget has enabled us to fund the projects at a revised costing of £393k which were deferred at the original budget setting process.</w:t>
      </w:r>
    </w:p>
    <w:p w:rsidR="005F7109" w:rsidRDefault="005F7109" w:rsidP="005F7109">
      <w:pPr>
        <w:pStyle w:val="BodyText1"/>
      </w:pPr>
      <w:r>
        <w:t xml:space="preserve"> </w:t>
      </w:r>
    </w:p>
    <w:p w:rsidR="005F7109" w:rsidRPr="00747FB2" w:rsidRDefault="005F7109" w:rsidP="005F7109">
      <w:pPr>
        <w:pStyle w:val="BodyText1"/>
        <w:rPr>
          <w:b/>
        </w:rPr>
      </w:pPr>
      <w:r w:rsidRPr="00747FB2">
        <w:rPr>
          <w:b/>
        </w:rPr>
        <w:t>5 National Boards £15m shortfall in 2018/19 and predicted for 2019/20</w:t>
      </w:r>
    </w:p>
    <w:p w:rsidR="005F7109" w:rsidRDefault="005F7109" w:rsidP="005F7109">
      <w:pPr>
        <w:pStyle w:val="BodyText1"/>
      </w:pPr>
      <w:r>
        <w:t>There is a shortfall of recurring and non–recurring savings in 2018/19 (£12.67m v £15m target) so there is a c/f of £2.33m on a non-recurring basis. Taking the recurring savings forward into 2019/20 (£11.155m v £15m target) there is also a recurring shortfall of £3.845m. Health Scotland has contributed more than its fair share of savings so will not contribute further other than where self-funding savings have been identified</w:t>
      </w:r>
    </w:p>
    <w:p w:rsidR="005F7109" w:rsidRDefault="005F7109" w:rsidP="005F7109">
      <w:pPr>
        <w:pStyle w:val="BodyText1"/>
      </w:pPr>
    </w:p>
    <w:p w:rsidR="005F7109" w:rsidRPr="0017764C" w:rsidRDefault="005F7109" w:rsidP="005F7109">
      <w:pPr>
        <w:pStyle w:val="BodyText1"/>
        <w:rPr>
          <w:b/>
        </w:rPr>
      </w:pPr>
      <w:r w:rsidRPr="0017764C">
        <w:rPr>
          <w:b/>
        </w:rPr>
        <w:lastRenderedPageBreak/>
        <w:t>6 Surplus c/f from 2018/19 to 2019/20</w:t>
      </w:r>
    </w:p>
    <w:p w:rsidR="005F7109" w:rsidRDefault="005F7109" w:rsidP="005F7109">
      <w:pPr>
        <w:pStyle w:val="BodyText1"/>
      </w:pPr>
      <w:r>
        <w:t>We have obtained verbal assurance from the Scottish Government that our surplus from 2018/19 is being made available to use in 2019/20 so we can continue to plan on this basis.</w:t>
      </w:r>
    </w:p>
    <w:p w:rsidR="005F7109" w:rsidRDefault="005F7109" w:rsidP="005F7109">
      <w:pPr>
        <w:pStyle w:val="BodyText1"/>
      </w:pPr>
      <w:r>
        <w:t>Financial Summary – Financial Plan, Revised budget and forecast for the year with notes on revised budget and comments on the full year forecast and YTD position. The detailed finance report shows an allocation total of £19,348k, as we only report on the allocations confirmed in the monthly allocation letter. Over the remainder of the year we expect to receive non-recurring allocation of £1,348k (£1,800 less £452k to date) and our surplus c/f of £343k to give our revised budget of £21,039k</w:t>
      </w:r>
    </w:p>
    <w:p w:rsidR="005F7109" w:rsidRDefault="005F7109" w:rsidP="005F7109">
      <w:pPr>
        <w:pStyle w:val="BodyText1"/>
      </w:pPr>
    </w:p>
    <w:tbl>
      <w:tblPr>
        <w:tblStyle w:val="TableGrid"/>
        <w:tblW w:w="14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091"/>
        <w:gridCol w:w="1234"/>
        <w:gridCol w:w="1128"/>
        <w:gridCol w:w="1150"/>
        <w:gridCol w:w="1391"/>
        <w:gridCol w:w="2284"/>
        <w:gridCol w:w="846"/>
        <w:gridCol w:w="847"/>
        <w:gridCol w:w="750"/>
        <w:gridCol w:w="1569"/>
      </w:tblGrid>
      <w:tr w:rsidR="005F7109" w:rsidTr="00C55DD1">
        <w:tc>
          <w:tcPr>
            <w:tcW w:w="2689" w:type="dxa"/>
          </w:tcPr>
          <w:p w:rsidR="005F7109" w:rsidRPr="000B16E8" w:rsidRDefault="005F7109" w:rsidP="00C55DD1">
            <w:pPr>
              <w:pStyle w:val="BodyText1"/>
              <w:rPr>
                <w:b/>
              </w:rPr>
            </w:pPr>
            <w:r w:rsidRPr="000B16E8">
              <w:rPr>
                <w:b/>
              </w:rPr>
              <w:t>Financial Summary</w:t>
            </w: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Fin Plan/</w:t>
            </w:r>
          </w:p>
        </w:tc>
        <w:tc>
          <w:tcPr>
            <w:tcW w:w="1128" w:type="dxa"/>
          </w:tcPr>
          <w:p w:rsidR="005F7109" w:rsidRDefault="005F7109" w:rsidP="00C55DD1">
            <w:pPr>
              <w:pStyle w:val="BodyText1"/>
              <w:jc w:val="right"/>
            </w:pPr>
            <w:r>
              <w:t>Revised</w:t>
            </w:r>
          </w:p>
        </w:tc>
        <w:tc>
          <w:tcPr>
            <w:tcW w:w="1150" w:type="dxa"/>
          </w:tcPr>
          <w:p w:rsidR="005F7109" w:rsidRDefault="005F7109" w:rsidP="00C55DD1">
            <w:pPr>
              <w:pStyle w:val="BodyText1"/>
              <w:jc w:val="right"/>
            </w:pPr>
          </w:p>
        </w:tc>
        <w:tc>
          <w:tcPr>
            <w:tcW w:w="1391" w:type="dxa"/>
          </w:tcPr>
          <w:p w:rsidR="005F7109" w:rsidRDefault="005F7109" w:rsidP="00C55DD1">
            <w:pPr>
              <w:pStyle w:val="BodyText1"/>
              <w:jc w:val="right"/>
            </w:pPr>
            <w:r>
              <w:t>RB to F/C</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p>
        </w:tc>
        <w:tc>
          <w:tcPr>
            <w:tcW w:w="847" w:type="dxa"/>
          </w:tcPr>
          <w:p w:rsidR="005F7109" w:rsidRDefault="005F7109" w:rsidP="00C55DD1">
            <w:pPr>
              <w:pStyle w:val="BodyText1"/>
              <w:jc w:val="right"/>
            </w:pPr>
          </w:p>
        </w:tc>
        <w:tc>
          <w:tcPr>
            <w:tcW w:w="750" w:type="dxa"/>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Budget</w:t>
            </w:r>
          </w:p>
        </w:tc>
        <w:tc>
          <w:tcPr>
            <w:tcW w:w="1128" w:type="dxa"/>
          </w:tcPr>
          <w:p w:rsidR="005F7109" w:rsidRDefault="005F7109" w:rsidP="00C55DD1">
            <w:pPr>
              <w:pStyle w:val="BodyText1"/>
              <w:jc w:val="right"/>
            </w:pPr>
            <w:r>
              <w:t>Budget</w:t>
            </w:r>
          </w:p>
        </w:tc>
        <w:tc>
          <w:tcPr>
            <w:tcW w:w="1150" w:type="dxa"/>
          </w:tcPr>
          <w:p w:rsidR="005F7109" w:rsidRDefault="005F7109" w:rsidP="00C55DD1">
            <w:pPr>
              <w:pStyle w:val="BodyText1"/>
              <w:jc w:val="right"/>
            </w:pPr>
            <w:r>
              <w:t>Forecast</w:t>
            </w:r>
          </w:p>
        </w:tc>
        <w:tc>
          <w:tcPr>
            <w:tcW w:w="1391" w:type="dxa"/>
          </w:tcPr>
          <w:p w:rsidR="005F7109" w:rsidRDefault="005F7109" w:rsidP="00C55DD1">
            <w:pPr>
              <w:pStyle w:val="BodyText1"/>
              <w:jc w:val="right"/>
            </w:pPr>
            <w:r>
              <w:t>Variance</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r>
              <w:t>Rev</w:t>
            </w:r>
          </w:p>
        </w:tc>
        <w:tc>
          <w:tcPr>
            <w:tcW w:w="847" w:type="dxa"/>
          </w:tcPr>
          <w:p w:rsidR="005F7109" w:rsidRDefault="005F7109" w:rsidP="00C55DD1">
            <w:pPr>
              <w:pStyle w:val="BodyText1"/>
              <w:jc w:val="right"/>
            </w:pPr>
          </w:p>
        </w:tc>
        <w:tc>
          <w:tcPr>
            <w:tcW w:w="750" w:type="dxa"/>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2019/20</w:t>
            </w:r>
          </w:p>
        </w:tc>
        <w:tc>
          <w:tcPr>
            <w:tcW w:w="1128" w:type="dxa"/>
          </w:tcPr>
          <w:p w:rsidR="005F7109" w:rsidRDefault="005F7109" w:rsidP="00C55DD1">
            <w:pPr>
              <w:pStyle w:val="BodyText1"/>
              <w:jc w:val="right"/>
            </w:pPr>
            <w:r>
              <w:t>2019/20</w:t>
            </w:r>
          </w:p>
        </w:tc>
        <w:tc>
          <w:tcPr>
            <w:tcW w:w="1150" w:type="dxa"/>
          </w:tcPr>
          <w:p w:rsidR="005F7109" w:rsidRDefault="005F7109" w:rsidP="00C55DD1">
            <w:pPr>
              <w:pStyle w:val="BodyText1"/>
              <w:jc w:val="right"/>
            </w:pPr>
            <w:r>
              <w:t>2019/20</w:t>
            </w:r>
          </w:p>
        </w:tc>
        <w:tc>
          <w:tcPr>
            <w:tcW w:w="1391" w:type="dxa"/>
          </w:tcPr>
          <w:p w:rsidR="005F7109" w:rsidRDefault="005F7109" w:rsidP="00C55DD1">
            <w:pPr>
              <w:pStyle w:val="BodyText1"/>
              <w:jc w:val="right"/>
            </w:pPr>
            <w:r>
              <w:t>2019/20</w:t>
            </w:r>
          </w:p>
        </w:tc>
        <w:tc>
          <w:tcPr>
            <w:tcW w:w="2284" w:type="dxa"/>
          </w:tcPr>
          <w:p w:rsidR="005F7109" w:rsidRDefault="005F7109" w:rsidP="00C55DD1">
            <w:pPr>
              <w:pStyle w:val="BodyText1"/>
            </w:pPr>
            <w:r>
              <w:t>Comments</w:t>
            </w:r>
          </w:p>
        </w:tc>
        <w:tc>
          <w:tcPr>
            <w:tcW w:w="846" w:type="dxa"/>
          </w:tcPr>
          <w:p w:rsidR="005F7109" w:rsidRDefault="005F7109" w:rsidP="00C55DD1">
            <w:pPr>
              <w:pStyle w:val="BodyText1"/>
              <w:jc w:val="right"/>
            </w:pPr>
            <w:r>
              <w:t>Bud</w:t>
            </w:r>
          </w:p>
        </w:tc>
        <w:tc>
          <w:tcPr>
            <w:tcW w:w="847" w:type="dxa"/>
          </w:tcPr>
          <w:p w:rsidR="005F7109" w:rsidRDefault="005F7109" w:rsidP="00C55DD1">
            <w:pPr>
              <w:pStyle w:val="BodyText1"/>
              <w:jc w:val="right"/>
            </w:pPr>
            <w:r>
              <w:t>Act</w:t>
            </w:r>
          </w:p>
        </w:tc>
        <w:tc>
          <w:tcPr>
            <w:tcW w:w="750" w:type="dxa"/>
          </w:tcPr>
          <w:p w:rsidR="005F7109" w:rsidRDefault="005F7109" w:rsidP="00C55DD1">
            <w:pPr>
              <w:pStyle w:val="BodyText1"/>
              <w:jc w:val="right"/>
            </w:pPr>
            <w:r>
              <w:t>Var</w:t>
            </w:r>
          </w:p>
        </w:tc>
        <w:tc>
          <w:tcPr>
            <w:tcW w:w="1569" w:type="dxa"/>
          </w:tcPr>
          <w:p w:rsidR="005F7109" w:rsidRDefault="005F7109" w:rsidP="00C55DD1">
            <w:pPr>
              <w:pStyle w:val="BodyText1"/>
            </w:pPr>
            <w:r>
              <w:t>Comments</w:t>
            </w: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FY</w:t>
            </w:r>
          </w:p>
        </w:tc>
        <w:tc>
          <w:tcPr>
            <w:tcW w:w="1128" w:type="dxa"/>
          </w:tcPr>
          <w:p w:rsidR="005F7109" w:rsidRDefault="005F7109" w:rsidP="00C55DD1">
            <w:pPr>
              <w:pStyle w:val="BodyText1"/>
              <w:jc w:val="right"/>
            </w:pPr>
            <w:r>
              <w:t>FY</w:t>
            </w:r>
          </w:p>
        </w:tc>
        <w:tc>
          <w:tcPr>
            <w:tcW w:w="1150" w:type="dxa"/>
          </w:tcPr>
          <w:p w:rsidR="005F7109" w:rsidRDefault="005F7109" w:rsidP="00C55DD1">
            <w:pPr>
              <w:pStyle w:val="BodyText1"/>
              <w:jc w:val="right"/>
            </w:pPr>
            <w:r>
              <w:t>FY</w:t>
            </w:r>
          </w:p>
        </w:tc>
        <w:tc>
          <w:tcPr>
            <w:tcW w:w="1391" w:type="dxa"/>
          </w:tcPr>
          <w:p w:rsidR="005F7109" w:rsidRDefault="005F7109" w:rsidP="00C55DD1">
            <w:pPr>
              <w:pStyle w:val="BodyText1"/>
              <w:jc w:val="right"/>
            </w:pPr>
            <w:r>
              <w:t>FY</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r>
              <w:t>Q1</w:t>
            </w:r>
          </w:p>
        </w:tc>
        <w:tc>
          <w:tcPr>
            <w:tcW w:w="847" w:type="dxa"/>
          </w:tcPr>
          <w:p w:rsidR="005F7109" w:rsidRDefault="005F7109" w:rsidP="00C55DD1">
            <w:pPr>
              <w:pStyle w:val="BodyText1"/>
              <w:jc w:val="right"/>
            </w:pPr>
            <w:r>
              <w:t>Q1</w:t>
            </w:r>
          </w:p>
        </w:tc>
        <w:tc>
          <w:tcPr>
            <w:tcW w:w="750" w:type="dxa"/>
          </w:tcPr>
          <w:p w:rsidR="005F7109" w:rsidRDefault="005F7109" w:rsidP="00C55DD1">
            <w:pPr>
              <w:pStyle w:val="BodyText1"/>
              <w:jc w:val="right"/>
            </w:pPr>
            <w:r>
              <w:t>Q1</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r>
              <w:t>Notes</w:t>
            </w:r>
          </w:p>
        </w:tc>
        <w:tc>
          <w:tcPr>
            <w:tcW w:w="1234" w:type="dxa"/>
          </w:tcPr>
          <w:p w:rsidR="005F7109" w:rsidRDefault="005F7109" w:rsidP="00C55DD1">
            <w:pPr>
              <w:pStyle w:val="BodyText1"/>
              <w:jc w:val="right"/>
            </w:pPr>
            <w:r>
              <w:t>£000</w:t>
            </w:r>
          </w:p>
        </w:tc>
        <w:tc>
          <w:tcPr>
            <w:tcW w:w="1128" w:type="dxa"/>
          </w:tcPr>
          <w:p w:rsidR="005F7109" w:rsidRDefault="005F7109" w:rsidP="00C55DD1">
            <w:pPr>
              <w:pStyle w:val="BodyText1"/>
              <w:jc w:val="right"/>
            </w:pPr>
            <w:r>
              <w:t>£000</w:t>
            </w:r>
          </w:p>
        </w:tc>
        <w:tc>
          <w:tcPr>
            <w:tcW w:w="1150" w:type="dxa"/>
          </w:tcPr>
          <w:p w:rsidR="005F7109" w:rsidRDefault="005F7109" w:rsidP="00C55DD1">
            <w:pPr>
              <w:pStyle w:val="BodyText1"/>
              <w:jc w:val="right"/>
            </w:pPr>
            <w:r>
              <w:t>£000</w:t>
            </w:r>
          </w:p>
        </w:tc>
        <w:tc>
          <w:tcPr>
            <w:tcW w:w="1391" w:type="dxa"/>
          </w:tcPr>
          <w:p w:rsidR="005F7109" w:rsidRDefault="005F7109" w:rsidP="00C55DD1">
            <w:pPr>
              <w:pStyle w:val="BodyText1"/>
              <w:jc w:val="right"/>
            </w:pPr>
            <w:r>
              <w:t>£000</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r>
              <w:t>£000</w:t>
            </w:r>
          </w:p>
        </w:tc>
        <w:tc>
          <w:tcPr>
            <w:tcW w:w="847" w:type="dxa"/>
          </w:tcPr>
          <w:p w:rsidR="005F7109" w:rsidRDefault="005F7109" w:rsidP="00C55DD1">
            <w:pPr>
              <w:pStyle w:val="BodyText1"/>
              <w:jc w:val="right"/>
            </w:pPr>
            <w:r>
              <w:t>£000</w:t>
            </w:r>
          </w:p>
        </w:tc>
        <w:tc>
          <w:tcPr>
            <w:tcW w:w="750" w:type="dxa"/>
          </w:tcPr>
          <w:p w:rsidR="005F7109" w:rsidRDefault="005F7109" w:rsidP="00C55DD1">
            <w:pPr>
              <w:pStyle w:val="BodyText1"/>
              <w:jc w:val="right"/>
            </w:pPr>
            <w:r>
              <w:t>£000</w:t>
            </w:r>
          </w:p>
        </w:tc>
        <w:tc>
          <w:tcPr>
            <w:tcW w:w="1569" w:type="dxa"/>
          </w:tcPr>
          <w:p w:rsidR="005F7109" w:rsidRDefault="005F7109" w:rsidP="00C55DD1">
            <w:pPr>
              <w:pStyle w:val="BodyText1"/>
            </w:pPr>
          </w:p>
        </w:tc>
      </w:tr>
      <w:tr w:rsidR="005F7109" w:rsidTr="00C55DD1">
        <w:tc>
          <w:tcPr>
            <w:tcW w:w="2689" w:type="dxa"/>
          </w:tcPr>
          <w:p w:rsidR="005F7109" w:rsidRPr="000676EA" w:rsidRDefault="005F7109" w:rsidP="00C55DD1">
            <w:pPr>
              <w:pStyle w:val="BodyText1"/>
              <w:rPr>
                <w:b/>
              </w:rPr>
            </w:pPr>
            <w:r w:rsidRPr="000676EA">
              <w:rPr>
                <w:b/>
              </w:rPr>
              <w:t>Income</w:t>
            </w:r>
          </w:p>
        </w:tc>
        <w:tc>
          <w:tcPr>
            <w:tcW w:w="1091" w:type="dxa"/>
          </w:tcPr>
          <w:p w:rsidR="005F7109" w:rsidRDefault="005F7109" w:rsidP="00C55DD1">
            <w:pPr>
              <w:pStyle w:val="BodyText1"/>
              <w:jc w:val="center"/>
            </w:pPr>
            <w:r>
              <w:t>1</w:t>
            </w:r>
          </w:p>
        </w:tc>
        <w:tc>
          <w:tcPr>
            <w:tcW w:w="1234" w:type="dxa"/>
          </w:tcPr>
          <w:p w:rsidR="005F7109" w:rsidRDefault="005F7109" w:rsidP="00C55DD1">
            <w:pPr>
              <w:pStyle w:val="BodyText1"/>
              <w:jc w:val="right"/>
            </w:pPr>
          </w:p>
        </w:tc>
        <w:tc>
          <w:tcPr>
            <w:tcW w:w="1128" w:type="dxa"/>
          </w:tcPr>
          <w:p w:rsidR="005F7109" w:rsidRDefault="005F7109" w:rsidP="00C55DD1">
            <w:pPr>
              <w:pStyle w:val="BodyText1"/>
              <w:jc w:val="right"/>
            </w:pPr>
          </w:p>
        </w:tc>
        <w:tc>
          <w:tcPr>
            <w:tcW w:w="1150" w:type="dxa"/>
          </w:tcPr>
          <w:p w:rsidR="005F7109" w:rsidRDefault="005F7109" w:rsidP="00C55DD1">
            <w:pPr>
              <w:pStyle w:val="BodyText1"/>
              <w:jc w:val="right"/>
            </w:pPr>
          </w:p>
        </w:tc>
        <w:tc>
          <w:tcPr>
            <w:tcW w:w="1391" w:type="dxa"/>
          </w:tcPr>
          <w:p w:rsidR="005F7109" w:rsidRDefault="005F7109" w:rsidP="00C55DD1">
            <w:pPr>
              <w:pStyle w:val="BodyText1"/>
              <w:jc w:val="right"/>
            </w:pPr>
          </w:p>
        </w:tc>
        <w:tc>
          <w:tcPr>
            <w:tcW w:w="2284" w:type="dxa"/>
          </w:tcPr>
          <w:p w:rsidR="005F7109" w:rsidRDefault="005F7109" w:rsidP="00C55DD1">
            <w:pPr>
              <w:pStyle w:val="BodyText1"/>
            </w:pPr>
          </w:p>
        </w:tc>
        <w:tc>
          <w:tcPr>
            <w:tcW w:w="846" w:type="dxa"/>
          </w:tcPr>
          <w:p w:rsidR="005F7109" w:rsidRDefault="005F7109" w:rsidP="00C55DD1">
            <w:pPr>
              <w:pStyle w:val="BodyText1"/>
              <w:jc w:val="right"/>
            </w:pPr>
          </w:p>
        </w:tc>
        <w:tc>
          <w:tcPr>
            <w:tcW w:w="847" w:type="dxa"/>
          </w:tcPr>
          <w:p w:rsidR="005F7109" w:rsidRDefault="005F7109" w:rsidP="00C55DD1">
            <w:pPr>
              <w:pStyle w:val="BodyText1"/>
              <w:jc w:val="right"/>
            </w:pPr>
          </w:p>
        </w:tc>
        <w:tc>
          <w:tcPr>
            <w:tcW w:w="750" w:type="dxa"/>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 xml:space="preserve">Baseline Funding </w:t>
            </w: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19,009</w:t>
            </w:r>
          </w:p>
        </w:tc>
        <w:tc>
          <w:tcPr>
            <w:tcW w:w="1128" w:type="dxa"/>
          </w:tcPr>
          <w:p w:rsidR="005F7109" w:rsidRDefault="005F7109" w:rsidP="00C55DD1">
            <w:pPr>
              <w:pStyle w:val="BodyText1"/>
              <w:jc w:val="right"/>
            </w:pPr>
            <w:r>
              <w:t>18,896</w:t>
            </w:r>
          </w:p>
        </w:tc>
        <w:tc>
          <w:tcPr>
            <w:tcW w:w="1150" w:type="dxa"/>
          </w:tcPr>
          <w:p w:rsidR="005F7109" w:rsidRDefault="005F7109" w:rsidP="00C55DD1">
            <w:pPr>
              <w:pStyle w:val="BodyText1"/>
              <w:jc w:val="right"/>
            </w:pPr>
            <w:r>
              <w:t>18,896</w:t>
            </w:r>
          </w:p>
        </w:tc>
        <w:tc>
          <w:tcPr>
            <w:tcW w:w="1391" w:type="dxa"/>
          </w:tcPr>
          <w:p w:rsidR="005F7109" w:rsidRDefault="005F7109" w:rsidP="00C55DD1">
            <w:pPr>
              <w:pStyle w:val="BodyText1"/>
              <w:jc w:val="right"/>
            </w:pPr>
            <w:r>
              <w:t>0</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r>
              <w:t>4,095</w:t>
            </w:r>
          </w:p>
        </w:tc>
        <w:tc>
          <w:tcPr>
            <w:tcW w:w="847" w:type="dxa"/>
          </w:tcPr>
          <w:p w:rsidR="005F7109" w:rsidRDefault="005F7109" w:rsidP="00C55DD1">
            <w:pPr>
              <w:pStyle w:val="BodyText1"/>
              <w:jc w:val="right"/>
            </w:pPr>
            <w:r>
              <w:t>4,095</w:t>
            </w:r>
          </w:p>
        </w:tc>
        <w:tc>
          <w:tcPr>
            <w:tcW w:w="750" w:type="dxa"/>
          </w:tcPr>
          <w:p w:rsidR="005F7109" w:rsidRDefault="005F7109" w:rsidP="00C55DD1">
            <w:pPr>
              <w:pStyle w:val="BodyText1"/>
              <w:jc w:val="right"/>
            </w:pPr>
            <w:r>
              <w:t>0</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c/f surplus</w:t>
            </w: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362</w:t>
            </w:r>
          </w:p>
        </w:tc>
        <w:tc>
          <w:tcPr>
            <w:tcW w:w="1128" w:type="dxa"/>
          </w:tcPr>
          <w:p w:rsidR="005F7109" w:rsidRDefault="005F7109" w:rsidP="00C55DD1">
            <w:pPr>
              <w:pStyle w:val="BodyText1"/>
              <w:jc w:val="right"/>
            </w:pPr>
            <w:r>
              <w:t>343</w:t>
            </w:r>
          </w:p>
        </w:tc>
        <w:tc>
          <w:tcPr>
            <w:tcW w:w="1150" w:type="dxa"/>
          </w:tcPr>
          <w:p w:rsidR="005F7109" w:rsidRDefault="005F7109" w:rsidP="00C55DD1">
            <w:pPr>
              <w:pStyle w:val="BodyText1"/>
              <w:jc w:val="right"/>
            </w:pPr>
            <w:r>
              <w:t>343</w:t>
            </w:r>
          </w:p>
        </w:tc>
        <w:tc>
          <w:tcPr>
            <w:tcW w:w="1391" w:type="dxa"/>
          </w:tcPr>
          <w:p w:rsidR="005F7109" w:rsidRDefault="005F7109" w:rsidP="00C55DD1">
            <w:pPr>
              <w:pStyle w:val="BodyText1"/>
              <w:jc w:val="right"/>
            </w:pPr>
          </w:p>
        </w:tc>
        <w:tc>
          <w:tcPr>
            <w:tcW w:w="2284" w:type="dxa"/>
          </w:tcPr>
          <w:p w:rsidR="005F7109" w:rsidRDefault="005F7109" w:rsidP="00C55DD1">
            <w:pPr>
              <w:pStyle w:val="BodyText1"/>
            </w:pPr>
            <w:r>
              <w:t>Verbal assurance from SG</w:t>
            </w:r>
          </w:p>
        </w:tc>
        <w:tc>
          <w:tcPr>
            <w:tcW w:w="846" w:type="dxa"/>
          </w:tcPr>
          <w:p w:rsidR="005F7109" w:rsidRDefault="005F7109" w:rsidP="00C55DD1">
            <w:pPr>
              <w:pStyle w:val="BodyText1"/>
              <w:jc w:val="right"/>
            </w:pPr>
            <w:r>
              <w:t>0</w:t>
            </w:r>
          </w:p>
        </w:tc>
        <w:tc>
          <w:tcPr>
            <w:tcW w:w="847" w:type="dxa"/>
          </w:tcPr>
          <w:p w:rsidR="005F7109" w:rsidRDefault="005F7109" w:rsidP="00C55DD1">
            <w:pPr>
              <w:pStyle w:val="BodyText1"/>
              <w:jc w:val="right"/>
            </w:pPr>
            <w:r>
              <w:t>0</w:t>
            </w:r>
          </w:p>
        </w:tc>
        <w:tc>
          <w:tcPr>
            <w:tcW w:w="750" w:type="dxa"/>
          </w:tcPr>
          <w:p w:rsidR="005F7109" w:rsidRDefault="005F7109" w:rsidP="00C55DD1">
            <w:pPr>
              <w:pStyle w:val="BodyText1"/>
              <w:jc w:val="right"/>
            </w:pPr>
            <w:r>
              <w:t>0</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Non-recurring Funding</w:t>
            </w:r>
          </w:p>
        </w:tc>
        <w:tc>
          <w:tcPr>
            <w:tcW w:w="1091" w:type="dxa"/>
          </w:tcPr>
          <w:p w:rsidR="005F7109" w:rsidRDefault="005F7109" w:rsidP="00C55DD1">
            <w:pPr>
              <w:pStyle w:val="BodyText1"/>
              <w:jc w:val="center"/>
            </w:pPr>
          </w:p>
        </w:tc>
        <w:tc>
          <w:tcPr>
            <w:tcW w:w="1234" w:type="dxa"/>
            <w:tcBorders>
              <w:bottom w:val="single" w:sz="4" w:space="0" w:color="auto"/>
            </w:tcBorders>
          </w:tcPr>
          <w:p w:rsidR="005F7109" w:rsidRDefault="005F7109" w:rsidP="00C55DD1">
            <w:pPr>
              <w:pStyle w:val="BodyText1"/>
              <w:jc w:val="right"/>
            </w:pPr>
            <w:r>
              <w:t>1,800</w:t>
            </w:r>
          </w:p>
        </w:tc>
        <w:tc>
          <w:tcPr>
            <w:tcW w:w="1128" w:type="dxa"/>
            <w:tcBorders>
              <w:bottom w:val="single" w:sz="4" w:space="0" w:color="auto"/>
            </w:tcBorders>
          </w:tcPr>
          <w:p w:rsidR="005F7109" w:rsidRDefault="005F7109" w:rsidP="00C55DD1">
            <w:pPr>
              <w:pStyle w:val="BodyText1"/>
              <w:jc w:val="right"/>
            </w:pPr>
            <w:r>
              <w:t>1,800</w:t>
            </w:r>
          </w:p>
        </w:tc>
        <w:tc>
          <w:tcPr>
            <w:tcW w:w="1150" w:type="dxa"/>
            <w:tcBorders>
              <w:bottom w:val="single" w:sz="4" w:space="0" w:color="auto"/>
            </w:tcBorders>
          </w:tcPr>
          <w:p w:rsidR="005F7109" w:rsidRDefault="005F7109" w:rsidP="00C55DD1">
            <w:pPr>
              <w:pStyle w:val="BodyText1"/>
              <w:jc w:val="right"/>
            </w:pPr>
            <w:r>
              <w:t>1,800</w:t>
            </w:r>
          </w:p>
        </w:tc>
        <w:tc>
          <w:tcPr>
            <w:tcW w:w="1391" w:type="dxa"/>
            <w:tcBorders>
              <w:bottom w:val="single" w:sz="4" w:space="0" w:color="auto"/>
            </w:tcBorders>
          </w:tcPr>
          <w:p w:rsidR="005F7109" w:rsidRDefault="005F7109" w:rsidP="00C55DD1">
            <w:pPr>
              <w:pStyle w:val="BodyText1"/>
              <w:jc w:val="right"/>
            </w:pPr>
          </w:p>
        </w:tc>
        <w:tc>
          <w:tcPr>
            <w:tcW w:w="2284" w:type="dxa"/>
          </w:tcPr>
          <w:p w:rsidR="005F7109" w:rsidRDefault="005F7109" w:rsidP="00C55DD1">
            <w:pPr>
              <w:pStyle w:val="BodyText1"/>
            </w:pPr>
          </w:p>
        </w:tc>
        <w:tc>
          <w:tcPr>
            <w:tcW w:w="846" w:type="dxa"/>
            <w:tcBorders>
              <w:bottom w:val="single" w:sz="4" w:space="0" w:color="auto"/>
            </w:tcBorders>
          </w:tcPr>
          <w:p w:rsidR="005F7109" w:rsidRDefault="005F7109" w:rsidP="00C55DD1">
            <w:pPr>
              <w:pStyle w:val="BodyText1"/>
              <w:jc w:val="right"/>
            </w:pPr>
            <w:r>
              <w:t>452</w:t>
            </w:r>
          </w:p>
        </w:tc>
        <w:tc>
          <w:tcPr>
            <w:tcW w:w="847" w:type="dxa"/>
            <w:tcBorders>
              <w:bottom w:val="single" w:sz="4" w:space="0" w:color="auto"/>
            </w:tcBorders>
          </w:tcPr>
          <w:p w:rsidR="005F7109" w:rsidRDefault="005F7109" w:rsidP="00C55DD1">
            <w:pPr>
              <w:pStyle w:val="BodyText1"/>
              <w:jc w:val="right"/>
            </w:pPr>
            <w:r>
              <w:t>452</w:t>
            </w:r>
          </w:p>
        </w:tc>
        <w:tc>
          <w:tcPr>
            <w:tcW w:w="750" w:type="dxa"/>
            <w:tcBorders>
              <w:bottom w:val="single" w:sz="4" w:space="0" w:color="auto"/>
            </w:tcBorders>
          </w:tcPr>
          <w:p w:rsidR="005F7109" w:rsidRDefault="005F7109" w:rsidP="00C55DD1">
            <w:pPr>
              <w:pStyle w:val="BodyText1"/>
              <w:jc w:val="right"/>
            </w:pPr>
            <w:r>
              <w:t>0</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Borders>
              <w:top w:val="single" w:sz="4" w:space="0" w:color="auto"/>
              <w:bottom w:val="single" w:sz="4" w:space="0" w:color="auto"/>
            </w:tcBorders>
          </w:tcPr>
          <w:p w:rsidR="005F7109" w:rsidRPr="000676EA" w:rsidRDefault="005F7109" w:rsidP="00C55DD1">
            <w:pPr>
              <w:pStyle w:val="BodyText1"/>
              <w:jc w:val="right"/>
              <w:rPr>
                <w:b/>
              </w:rPr>
            </w:pPr>
            <w:r w:rsidRPr="000676EA">
              <w:rPr>
                <w:b/>
              </w:rPr>
              <w:t>21,171</w:t>
            </w:r>
          </w:p>
        </w:tc>
        <w:tc>
          <w:tcPr>
            <w:tcW w:w="1128" w:type="dxa"/>
            <w:tcBorders>
              <w:top w:val="single" w:sz="4" w:space="0" w:color="auto"/>
              <w:bottom w:val="single" w:sz="4" w:space="0" w:color="auto"/>
            </w:tcBorders>
          </w:tcPr>
          <w:p w:rsidR="005F7109" w:rsidRPr="000676EA" w:rsidRDefault="005F7109" w:rsidP="00C55DD1">
            <w:pPr>
              <w:pStyle w:val="BodyText1"/>
              <w:jc w:val="right"/>
              <w:rPr>
                <w:b/>
              </w:rPr>
            </w:pPr>
            <w:r w:rsidRPr="000676EA">
              <w:rPr>
                <w:b/>
              </w:rPr>
              <w:t>21,039</w:t>
            </w:r>
          </w:p>
        </w:tc>
        <w:tc>
          <w:tcPr>
            <w:tcW w:w="1150" w:type="dxa"/>
            <w:tcBorders>
              <w:top w:val="single" w:sz="4" w:space="0" w:color="auto"/>
              <w:bottom w:val="single" w:sz="4" w:space="0" w:color="auto"/>
            </w:tcBorders>
          </w:tcPr>
          <w:p w:rsidR="005F7109" w:rsidRPr="000676EA" w:rsidRDefault="005F7109" w:rsidP="00C55DD1">
            <w:pPr>
              <w:pStyle w:val="BodyText1"/>
              <w:jc w:val="right"/>
              <w:rPr>
                <w:b/>
              </w:rPr>
            </w:pPr>
            <w:r w:rsidRPr="000676EA">
              <w:rPr>
                <w:b/>
              </w:rPr>
              <w:t>21,039</w:t>
            </w:r>
          </w:p>
        </w:tc>
        <w:tc>
          <w:tcPr>
            <w:tcW w:w="1391" w:type="dxa"/>
            <w:tcBorders>
              <w:top w:val="single" w:sz="4" w:space="0" w:color="auto"/>
              <w:bottom w:val="single" w:sz="4" w:space="0" w:color="auto"/>
            </w:tcBorders>
          </w:tcPr>
          <w:p w:rsidR="005F7109" w:rsidRDefault="005F7109" w:rsidP="00C55DD1">
            <w:pPr>
              <w:pStyle w:val="BodyText1"/>
              <w:jc w:val="right"/>
            </w:pPr>
            <w:r>
              <w:t>0</w:t>
            </w:r>
          </w:p>
        </w:tc>
        <w:tc>
          <w:tcPr>
            <w:tcW w:w="2284" w:type="dxa"/>
          </w:tcPr>
          <w:p w:rsidR="005F7109" w:rsidRDefault="005F7109" w:rsidP="00C55DD1">
            <w:pPr>
              <w:pStyle w:val="BodyText1"/>
            </w:pPr>
          </w:p>
        </w:tc>
        <w:tc>
          <w:tcPr>
            <w:tcW w:w="846"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4,547</w:t>
            </w:r>
          </w:p>
        </w:tc>
        <w:tc>
          <w:tcPr>
            <w:tcW w:w="847"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4,547</w:t>
            </w:r>
          </w:p>
        </w:tc>
        <w:tc>
          <w:tcPr>
            <w:tcW w:w="750"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0</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Borders>
              <w:top w:val="single" w:sz="4" w:space="0" w:color="auto"/>
            </w:tcBorders>
          </w:tcPr>
          <w:p w:rsidR="005F7109" w:rsidRDefault="005F7109" w:rsidP="00C55DD1">
            <w:pPr>
              <w:pStyle w:val="BodyText1"/>
              <w:jc w:val="right"/>
            </w:pPr>
          </w:p>
        </w:tc>
        <w:tc>
          <w:tcPr>
            <w:tcW w:w="1128" w:type="dxa"/>
            <w:tcBorders>
              <w:top w:val="single" w:sz="4" w:space="0" w:color="auto"/>
            </w:tcBorders>
          </w:tcPr>
          <w:p w:rsidR="005F7109" w:rsidRDefault="005F7109" w:rsidP="00C55DD1">
            <w:pPr>
              <w:pStyle w:val="BodyText1"/>
              <w:jc w:val="right"/>
            </w:pPr>
          </w:p>
        </w:tc>
        <w:tc>
          <w:tcPr>
            <w:tcW w:w="1150" w:type="dxa"/>
            <w:tcBorders>
              <w:top w:val="single" w:sz="4" w:space="0" w:color="auto"/>
            </w:tcBorders>
          </w:tcPr>
          <w:p w:rsidR="005F7109" w:rsidRDefault="005F7109" w:rsidP="00C55DD1">
            <w:pPr>
              <w:pStyle w:val="BodyText1"/>
              <w:jc w:val="right"/>
            </w:pPr>
          </w:p>
        </w:tc>
        <w:tc>
          <w:tcPr>
            <w:tcW w:w="1391" w:type="dxa"/>
            <w:tcBorders>
              <w:top w:val="single" w:sz="4" w:space="0" w:color="auto"/>
            </w:tcBorders>
          </w:tcPr>
          <w:p w:rsidR="005F7109" w:rsidRDefault="005F7109" w:rsidP="00C55DD1">
            <w:pPr>
              <w:pStyle w:val="BodyText1"/>
              <w:jc w:val="right"/>
            </w:pPr>
          </w:p>
        </w:tc>
        <w:tc>
          <w:tcPr>
            <w:tcW w:w="2284" w:type="dxa"/>
          </w:tcPr>
          <w:p w:rsidR="005F7109" w:rsidRDefault="005F7109" w:rsidP="00C55DD1">
            <w:pPr>
              <w:pStyle w:val="BodyText1"/>
            </w:pPr>
          </w:p>
        </w:tc>
        <w:tc>
          <w:tcPr>
            <w:tcW w:w="846" w:type="dxa"/>
            <w:tcBorders>
              <w:top w:val="single" w:sz="4" w:space="0" w:color="auto"/>
            </w:tcBorders>
          </w:tcPr>
          <w:p w:rsidR="005F7109" w:rsidRDefault="005F7109" w:rsidP="00C55DD1">
            <w:pPr>
              <w:pStyle w:val="BodyText1"/>
              <w:jc w:val="right"/>
            </w:pPr>
          </w:p>
        </w:tc>
        <w:tc>
          <w:tcPr>
            <w:tcW w:w="847" w:type="dxa"/>
            <w:tcBorders>
              <w:top w:val="single" w:sz="4" w:space="0" w:color="auto"/>
            </w:tcBorders>
          </w:tcPr>
          <w:p w:rsidR="005F7109" w:rsidRDefault="005F7109" w:rsidP="00C55DD1">
            <w:pPr>
              <w:pStyle w:val="BodyText1"/>
              <w:jc w:val="right"/>
            </w:pPr>
          </w:p>
        </w:tc>
        <w:tc>
          <w:tcPr>
            <w:tcW w:w="750" w:type="dxa"/>
            <w:tcBorders>
              <w:top w:val="single" w:sz="4" w:space="0" w:color="auto"/>
            </w:tcBorders>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Pr="000676EA" w:rsidRDefault="005F7109" w:rsidP="00C55DD1">
            <w:pPr>
              <w:pStyle w:val="BodyText1"/>
              <w:rPr>
                <w:b/>
              </w:rPr>
            </w:pPr>
            <w:r w:rsidRPr="000676EA">
              <w:rPr>
                <w:b/>
              </w:rPr>
              <w:t>Expenditure</w:t>
            </w:r>
          </w:p>
        </w:tc>
        <w:tc>
          <w:tcPr>
            <w:tcW w:w="1091" w:type="dxa"/>
          </w:tcPr>
          <w:p w:rsidR="005F7109" w:rsidRDefault="005F7109" w:rsidP="00C55DD1">
            <w:pPr>
              <w:pStyle w:val="BodyText1"/>
              <w:jc w:val="center"/>
            </w:pPr>
            <w:r>
              <w:t>2</w:t>
            </w:r>
          </w:p>
        </w:tc>
        <w:tc>
          <w:tcPr>
            <w:tcW w:w="1234" w:type="dxa"/>
          </w:tcPr>
          <w:p w:rsidR="005F7109" w:rsidRDefault="005F7109" w:rsidP="00C55DD1">
            <w:pPr>
              <w:pStyle w:val="BodyText1"/>
              <w:jc w:val="right"/>
            </w:pPr>
          </w:p>
        </w:tc>
        <w:tc>
          <w:tcPr>
            <w:tcW w:w="1128" w:type="dxa"/>
          </w:tcPr>
          <w:p w:rsidR="005F7109" w:rsidRDefault="005F7109" w:rsidP="00C55DD1">
            <w:pPr>
              <w:pStyle w:val="BodyText1"/>
              <w:jc w:val="right"/>
            </w:pPr>
          </w:p>
        </w:tc>
        <w:tc>
          <w:tcPr>
            <w:tcW w:w="1150" w:type="dxa"/>
          </w:tcPr>
          <w:p w:rsidR="005F7109" w:rsidRDefault="005F7109" w:rsidP="00C55DD1">
            <w:pPr>
              <w:pStyle w:val="BodyText1"/>
              <w:jc w:val="right"/>
            </w:pPr>
          </w:p>
        </w:tc>
        <w:tc>
          <w:tcPr>
            <w:tcW w:w="1391" w:type="dxa"/>
          </w:tcPr>
          <w:p w:rsidR="005F7109" w:rsidRDefault="005F7109" w:rsidP="00C55DD1">
            <w:pPr>
              <w:pStyle w:val="BodyText1"/>
              <w:jc w:val="right"/>
            </w:pPr>
          </w:p>
        </w:tc>
        <w:tc>
          <w:tcPr>
            <w:tcW w:w="2284" w:type="dxa"/>
          </w:tcPr>
          <w:p w:rsidR="005F7109" w:rsidRDefault="005F7109" w:rsidP="00C55DD1">
            <w:pPr>
              <w:pStyle w:val="BodyText1"/>
            </w:pPr>
          </w:p>
        </w:tc>
        <w:tc>
          <w:tcPr>
            <w:tcW w:w="846" w:type="dxa"/>
          </w:tcPr>
          <w:p w:rsidR="005F7109" w:rsidRDefault="005F7109" w:rsidP="00C55DD1">
            <w:pPr>
              <w:pStyle w:val="BodyText1"/>
              <w:jc w:val="right"/>
            </w:pPr>
          </w:p>
        </w:tc>
        <w:tc>
          <w:tcPr>
            <w:tcW w:w="847" w:type="dxa"/>
          </w:tcPr>
          <w:p w:rsidR="005F7109" w:rsidRDefault="005F7109" w:rsidP="00C55DD1">
            <w:pPr>
              <w:pStyle w:val="BodyText1"/>
              <w:jc w:val="right"/>
            </w:pPr>
          </w:p>
        </w:tc>
        <w:tc>
          <w:tcPr>
            <w:tcW w:w="750" w:type="dxa"/>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Salaries</w:t>
            </w: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14,713</w:t>
            </w:r>
          </w:p>
        </w:tc>
        <w:tc>
          <w:tcPr>
            <w:tcW w:w="1128" w:type="dxa"/>
          </w:tcPr>
          <w:p w:rsidR="005F7109" w:rsidRDefault="005F7109" w:rsidP="00C55DD1">
            <w:pPr>
              <w:pStyle w:val="BodyText1"/>
              <w:jc w:val="right"/>
            </w:pPr>
            <w:r>
              <w:t>14,371</w:t>
            </w:r>
          </w:p>
        </w:tc>
        <w:tc>
          <w:tcPr>
            <w:tcW w:w="1150" w:type="dxa"/>
          </w:tcPr>
          <w:p w:rsidR="005F7109" w:rsidRDefault="005F7109" w:rsidP="00C55DD1">
            <w:pPr>
              <w:pStyle w:val="BodyText1"/>
              <w:jc w:val="right"/>
            </w:pPr>
            <w:r>
              <w:t>14,371</w:t>
            </w:r>
          </w:p>
        </w:tc>
        <w:tc>
          <w:tcPr>
            <w:tcW w:w="1391" w:type="dxa"/>
          </w:tcPr>
          <w:p w:rsidR="005F7109" w:rsidRDefault="005F7109" w:rsidP="00C55DD1">
            <w:pPr>
              <w:pStyle w:val="BodyText1"/>
              <w:jc w:val="right"/>
            </w:pPr>
            <w:r>
              <w:t>0</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p>
        </w:tc>
        <w:tc>
          <w:tcPr>
            <w:tcW w:w="847" w:type="dxa"/>
          </w:tcPr>
          <w:p w:rsidR="005F7109" w:rsidRDefault="005F7109" w:rsidP="00C55DD1">
            <w:pPr>
              <w:pStyle w:val="BodyText1"/>
              <w:jc w:val="right"/>
            </w:pPr>
          </w:p>
        </w:tc>
        <w:tc>
          <w:tcPr>
            <w:tcW w:w="750" w:type="dxa"/>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Salary savings target</w:t>
            </w:r>
          </w:p>
        </w:tc>
        <w:tc>
          <w:tcPr>
            <w:tcW w:w="1091" w:type="dxa"/>
          </w:tcPr>
          <w:p w:rsidR="005F7109" w:rsidRDefault="005F7109" w:rsidP="00C55DD1">
            <w:pPr>
              <w:pStyle w:val="BodyText1"/>
              <w:jc w:val="center"/>
            </w:pPr>
          </w:p>
        </w:tc>
        <w:tc>
          <w:tcPr>
            <w:tcW w:w="1234" w:type="dxa"/>
            <w:tcBorders>
              <w:bottom w:val="single" w:sz="4" w:space="0" w:color="auto"/>
            </w:tcBorders>
          </w:tcPr>
          <w:p w:rsidR="005F7109" w:rsidRDefault="005F7109" w:rsidP="00C55DD1">
            <w:pPr>
              <w:pStyle w:val="BodyText1"/>
              <w:jc w:val="right"/>
            </w:pPr>
            <w:r>
              <w:t>(270)</w:t>
            </w:r>
          </w:p>
        </w:tc>
        <w:tc>
          <w:tcPr>
            <w:tcW w:w="1128" w:type="dxa"/>
            <w:tcBorders>
              <w:bottom w:val="single" w:sz="4" w:space="0" w:color="auto"/>
            </w:tcBorders>
          </w:tcPr>
          <w:p w:rsidR="005F7109" w:rsidRDefault="005F7109" w:rsidP="00C55DD1">
            <w:pPr>
              <w:pStyle w:val="BodyText1"/>
              <w:jc w:val="right"/>
            </w:pPr>
            <w:r>
              <w:t>(391)</w:t>
            </w:r>
          </w:p>
        </w:tc>
        <w:tc>
          <w:tcPr>
            <w:tcW w:w="1150" w:type="dxa"/>
            <w:tcBorders>
              <w:bottom w:val="single" w:sz="4" w:space="0" w:color="auto"/>
            </w:tcBorders>
          </w:tcPr>
          <w:p w:rsidR="005F7109" w:rsidRDefault="005F7109" w:rsidP="00C55DD1">
            <w:pPr>
              <w:pStyle w:val="BodyText1"/>
              <w:jc w:val="right"/>
            </w:pPr>
            <w:r>
              <w:t>(304)</w:t>
            </w:r>
          </w:p>
        </w:tc>
        <w:tc>
          <w:tcPr>
            <w:tcW w:w="1391" w:type="dxa"/>
            <w:tcBorders>
              <w:bottom w:val="single" w:sz="4" w:space="0" w:color="auto"/>
            </w:tcBorders>
          </w:tcPr>
          <w:p w:rsidR="005F7109" w:rsidRDefault="005F7109" w:rsidP="00C55DD1">
            <w:pPr>
              <w:pStyle w:val="BodyText1"/>
              <w:jc w:val="right"/>
            </w:pPr>
            <w:r>
              <w:t>(87)</w:t>
            </w:r>
          </w:p>
        </w:tc>
        <w:tc>
          <w:tcPr>
            <w:tcW w:w="2284" w:type="dxa"/>
          </w:tcPr>
          <w:p w:rsidR="005F7109" w:rsidRDefault="005F7109" w:rsidP="00C55DD1">
            <w:pPr>
              <w:pStyle w:val="BodyText1"/>
            </w:pPr>
            <w:r>
              <w:t>Staff savings may not be achieved</w:t>
            </w:r>
          </w:p>
        </w:tc>
        <w:tc>
          <w:tcPr>
            <w:tcW w:w="846" w:type="dxa"/>
          </w:tcPr>
          <w:p w:rsidR="005F7109" w:rsidRDefault="005F7109" w:rsidP="00C55DD1">
            <w:pPr>
              <w:pStyle w:val="BodyText1"/>
              <w:jc w:val="right"/>
            </w:pPr>
          </w:p>
        </w:tc>
        <w:tc>
          <w:tcPr>
            <w:tcW w:w="847" w:type="dxa"/>
          </w:tcPr>
          <w:p w:rsidR="005F7109" w:rsidRDefault="005F7109" w:rsidP="00C55DD1">
            <w:pPr>
              <w:pStyle w:val="BodyText1"/>
              <w:jc w:val="right"/>
            </w:pPr>
          </w:p>
        </w:tc>
        <w:tc>
          <w:tcPr>
            <w:tcW w:w="750" w:type="dxa"/>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Net Salaries</w:t>
            </w:r>
          </w:p>
        </w:tc>
        <w:tc>
          <w:tcPr>
            <w:tcW w:w="1091" w:type="dxa"/>
          </w:tcPr>
          <w:p w:rsidR="005F7109" w:rsidRDefault="005F7109" w:rsidP="00C55DD1">
            <w:pPr>
              <w:pStyle w:val="BodyText1"/>
              <w:jc w:val="center"/>
            </w:pPr>
          </w:p>
        </w:tc>
        <w:tc>
          <w:tcPr>
            <w:tcW w:w="1234" w:type="dxa"/>
            <w:tcBorders>
              <w:top w:val="single" w:sz="4" w:space="0" w:color="auto"/>
            </w:tcBorders>
          </w:tcPr>
          <w:p w:rsidR="005F7109" w:rsidRDefault="005F7109" w:rsidP="00C55DD1">
            <w:pPr>
              <w:pStyle w:val="BodyText1"/>
              <w:jc w:val="right"/>
            </w:pPr>
            <w:r>
              <w:t>14,443</w:t>
            </w:r>
          </w:p>
        </w:tc>
        <w:tc>
          <w:tcPr>
            <w:tcW w:w="1128" w:type="dxa"/>
            <w:tcBorders>
              <w:top w:val="single" w:sz="4" w:space="0" w:color="auto"/>
            </w:tcBorders>
          </w:tcPr>
          <w:p w:rsidR="005F7109" w:rsidRDefault="005F7109" w:rsidP="00C55DD1">
            <w:pPr>
              <w:pStyle w:val="BodyText1"/>
              <w:jc w:val="right"/>
            </w:pPr>
            <w:r>
              <w:t>13,980</w:t>
            </w:r>
          </w:p>
        </w:tc>
        <w:tc>
          <w:tcPr>
            <w:tcW w:w="1150" w:type="dxa"/>
            <w:tcBorders>
              <w:top w:val="single" w:sz="4" w:space="0" w:color="auto"/>
            </w:tcBorders>
          </w:tcPr>
          <w:p w:rsidR="005F7109" w:rsidRDefault="005F7109" w:rsidP="00C55DD1">
            <w:pPr>
              <w:pStyle w:val="BodyText1"/>
              <w:jc w:val="right"/>
            </w:pPr>
            <w:r>
              <w:t>13,893</w:t>
            </w:r>
          </w:p>
        </w:tc>
        <w:tc>
          <w:tcPr>
            <w:tcW w:w="1391" w:type="dxa"/>
            <w:tcBorders>
              <w:top w:val="single" w:sz="4" w:space="0" w:color="auto"/>
            </w:tcBorders>
          </w:tcPr>
          <w:p w:rsidR="005F7109" w:rsidRDefault="005F7109" w:rsidP="00C55DD1">
            <w:pPr>
              <w:pStyle w:val="BodyText1"/>
              <w:jc w:val="right"/>
            </w:pPr>
            <w:r>
              <w:t>(87)</w:t>
            </w:r>
          </w:p>
        </w:tc>
        <w:tc>
          <w:tcPr>
            <w:tcW w:w="2284" w:type="dxa"/>
          </w:tcPr>
          <w:p w:rsidR="005F7109" w:rsidRDefault="005F7109" w:rsidP="00C55DD1">
            <w:pPr>
              <w:pStyle w:val="BodyText1"/>
            </w:pPr>
          </w:p>
        </w:tc>
        <w:tc>
          <w:tcPr>
            <w:tcW w:w="846" w:type="dxa"/>
          </w:tcPr>
          <w:p w:rsidR="005F7109" w:rsidRDefault="005F7109" w:rsidP="00C55DD1">
            <w:pPr>
              <w:pStyle w:val="BodyText1"/>
              <w:jc w:val="right"/>
            </w:pPr>
            <w:r>
              <w:t>3,412</w:t>
            </w:r>
          </w:p>
        </w:tc>
        <w:tc>
          <w:tcPr>
            <w:tcW w:w="847" w:type="dxa"/>
          </w:tcPr>
          <w:p w:rsidR="005F7109" w:rsidRDefault="005F7109" w:rsidP="00C55DD1">
            <w:pPr>
              <w:pStyle w:val="BodyText1"/>
              <w:jc w:val="right"/>
            </w:pPr>
            <w:r>
              <w:t>3,411</w:t>
            </w:r>
          </w:p>
        </w:tc>
        <w:tc>
          <w:tcPr>
            <w:tcW w:w="750" w:type="dxa"/>
          </w:tcPr>
          <w:p w:rsidR="005F7109" w:rsidRDefault="005F7109" w:rsidP="00C55DD1">
            <w:pPr>
              <w:pStyle w:val="BodyText1"/>
              <w:jc w:val="right"/>
            </w:pPr>
            <w:r>
              <w:t>1</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r>
              <w:t>Non-staff Costs</w:t>
            </w:r>
          </w:p>
        </w:tc>
        <w:tc>
          <w:tcPr>
            <w:tcW w:w="1091" w:type="dxa"/>
          </w:tcPr>
          <w:p w:rsidR="005F7109" w:rsidRDefault="005F7109" w:rsidP="00C55DD1">
            <w:pPr>
              <w:pStyle w:val="BodyText1"/>
              <w:jc w:val="center"/>
            </w:pPr>
          </w:p>
        </w:tc>
        <w:tc>
          <w:tcPr>
            <w:tcW w:w="1234" w:type="dxa"/>
          </w:tcPr>
          <w:p w:rsidR="005F7109" w:rsidRDefault="005F7109" w:rsidP="00C55DD1">
            <w:pPr>
              <w:pStyle w:val="BodyText1"/>
              <w:jc w:val="right"/>
            </w:pPr>
            <w:r>
              <w:t>6,483</w:t>
            </w:r>
          </w:p>
        </w:tc>
        <w:tc>
          <w:tcPr>
            <w:tcW w:w="1128" w:type="dxa"/>
          </w:tcPr>
          <w:p w:rsidR="005F7109" w:rsidRDefault="005F7109" w:rsidP="00C55DD1">
            <w:pPr>
              <w:pStyle w:val="BodyText1"/>
              <w:jc w:val="right"/>
            </w:pPr>
            <w:r>
              <w:t>6,814</w:t>
            </w:r>
          </w:p>
        </w:tc>
        <w:tc>
          <w:tcPr>
            <w:tcW w:w="1150" w:type="dxa"/>
          </w:tcPr>
          <w:p w:rsidR="005F7109" w:rsidRDefault="005F7109" w:rsidP="00C55DD1">
            <w:pPr>
              <w:pStyle w:val="BodyText1"/>
              <w:jc w:val="right"/>
            </w:pPr>
            <w:r>
              <w:t>6,382</w:t>
            </w:r>
          </w:p>
        </w:tc>
        <w:tc>
          <w:tcPr>
            <w:tcW w:w="1391" w:type="dxa"/>
          </w:tcPr>
          <w:p w:rsidR="005F7109" w:rsidRDefault="005F7109" w:rsidP="00C55DD1">
            <w:pPr>
              <w:pStyle w:val="BodyText1"/>
              <w:jc w:val="right"/>
            </w:pPr>
            <w:r>
              <w:t>101</w:t>
            </w:r>
          </w:p>
        </w:tc>
        <w:tc>
          <w:tcPr>
            <w:tcW w:w="2284" w:type="dxa"/>
          </w:tcPr>
          <w:p w:rsidR="005F7109" w:rsidRDefault="005F7109" w:rsidP="00C55DD1">
            <w:pPr>
              <w:pStyle w:val="BodyText1"/>
            </w:pPr>
            <w:r>
              <w:t>Surrenders/savings on projects</w:t>
            </w:r>
          </w:p>
        </w:tc>
        <w:tc>
          <w:tcPr>
            <w:tcW w:w="846" w:type="dxa"/>
          </w:tcPr>
          <w:p w:rsidR="005F7109" w:rsidRDefault="005F7109" w:rsidP="00C55DD1">
            <w:pPr>
              <w:pStyle w:val="BodyText1"/>
              <w:jc w:val="right"/>
            </w:pPr>
            <w:r>
              <w:t>1,069</w:t>
            </w:r>
          </w:p>
          <w:p w:rsidR="005F7109" w:rsidRDefault="005F7109" w:rsidP="00C55DD1">
            <w:pPr>
              <w:pStyle w:val="BodyText1"/>
              <w:jc w:val="right"/>
            </w:pPr>
          </w:p>
        </w:tc>
        <w:tc>
          <w:tcPr>
            <w:tcW w:w="847" w:type="dxa"/>
          </w:tcPr>
          <w:p w:rsidR="005F7109" w:rsidRDefault="005F7109" w:rsidP="00C55DD1">
            <w:pPr>
              <w:pStyle w:val="BodyText1"/>
              <w:jc w:val="right"/>
            </w:pPr>
            <w:r>
              <w:t>986</w:t>
            </w:r>
          </w:p>
        </w:tc>
        <w:tc>
          <w:tcPr>
            <w:tcW w:w="750" w:type="dxa"/>
          </w:tcPr>
          <w:p w:rsidR="005F7109" w:rsidRDefault="005F7109" w:rsidP="00C55DD1">
            <w:pPr>
              <w:pStyle w:val="BodyText1"/>
              <w:jc w:val="right"/>
            </w:pPr>
            <w:r>
              <w:t>83</w:t>
            </w:r>
          </w:p>
        </w:tc>
        <w:tc>
          <w:tcPr>
            <w:tcW w:w="1569" w:type="dxa"/>
          </w:tcPr>
          <w:p w:rsidR="005F7109" w:rsidRDefault="005F7109" w:rsidP="00C55DD1">
            <w:pPr>
              <w:pStyle w:val="BodyText1"/>
            </w:pPr>
            <w:r>
              <w:t xml:space="preserve">Timing </w:t>
            </w:r>
          </w:p>
        </w:tc>
      </w:tr>
      <w:tr w:rsidR="005F7109" w:rsidTr="00C55DD1">
        <w:tc>
          <w:tcPr>
            <w:tcW w:w="2689" w:type="dxa"/>
          </w:tcPr>
          <w:p w:rsidR="005F7109" w:rsidRDefault="005F7109" w:rsidP="00C55DD1">
            <w:pPr>
              <w:pStyle w:val="BodyText1"/>
            </w:pPr>
            <w:r>
              <w:t>Depreciation</w:t>
            </w:r>
          </w:p>
        </w:tc>
        <w:tc>
          <w:tcPr>
            <w:tcW w:w="1091" w:type="dxa"/>
          </w:tcPr>
          <w:p w:rsidR="005F7109" w:rsidRDefault="005F7109" w:rsidP="00C55DD1">
            <w:pPr>
              <w:pStyle w:val="BodyText1"/>
              <w:jc w:val="center"/>
            </w:pPr>
          </w:p>
        </w:tc>
        <w:tc>
          <w:tcPr>
            <w:tcW w:w="1234" w:type="dxa"/>
            <w:tcBorders>
              <w:bottom w:val="single" w:sz="4" w:space="0" w:color="auto"/>
            </w:tcBorders>
          </w:tcPr>
          <w:p w:rsidR="005F7109" w:rsidRDefault="005F7109" w:rsidP="00C55DD1">
            <w:pPr>
              <w:pStyle w:val="BodyText1"/>
              <w:jc w:val="right"/>
            </w:pPr>
            <w:r>
              <w:t>245</w:t>
            </w:r>
          </w:p>
        </w:tc>
        <w:tc>
          <w:tcPr>
            <w:tcW w:w="1128" w:type="dxa"/>
            <w:tcBorders>
              <w:bottom w:val="single" w:sz="4" w:space="0" w:color="auto"/>
            </w:tcBorders>
          </w:tcPr>
          <w:p w:rsidR="005F7109" w:rsidRDefault="005F7109" w:rsidP="00C55DD1">
            <w:pPr>
              <w:pStyle w:val="BodyText1"/>
              <w:jc w:val="right"/>
            </w:pPr>
            <w:r>
              <w:t>245</w:t>
            </w:r>
          </w:p>
        </w:tc>
        <w:tc>
          <w:tcPr>
            <w:tcW w:w="1150" w:type="dxa"/>
            <w:tcBorders>
              <w:bottom w:val="single" w:sz="4" w:space="0" w:color="auto"/>
            </w:tcBorders>
          </w:tcPr>
          <w:p w:rsidR="005F7109" w:rsidRDefault="005F7109" w:rsidP="00C55DD1">
            <w:pPr>
              <w:pStyle w:val="BodyText1"/>
              <w:jc w:val="right"/>
            </w:pPr>
            <w:r>
              <w:t>245</w:t>
            </w:r>
          </w:p>
        </w:tc>
        <w:tc>
          <w:tcPr>
            <w:tcW w:w="1391" w:type="dxa"/>
            <w:tcBorders>
              <w:bottom w:val="single" w:sz="4" w:space="0" w:color="auto"/>
            </w:tcBorders>
          </w:tcPr>
          <w:p w:rsidR="005F7109" w:rsidRDefault="005F7109" w:rsidP="00C55DD1">
            <w:pPr>
              <w:pStyle w:val="BodyText1"/>
              <w:jc w:val="right"/>
            </w:pPr>
            <w:r>
              <w:t>0</w:t>
            </w:r>
          </w:p>
        </w:tc>
        <w:tc>
          <w:tcPr>
            <w:tcW w:w="2284" w:type="dxa"/>
          </w:tcPr>
          <w:p w:rsidR="005F7109" w:rsidRDefault="005F7109" w:rsidP="00C55DD1">
            <w:pPr>
              <w:pStyle w:val="BodyText1"/>
            </w:pPr>
          </w:p>
        </w:tc>
        <w:tc>
          <w:tcPr>
            <w:tcW w:w="846" w:type="dxa"/>
            <w:tcBorders>
              <w:bottom w:val="single" w:sz="4" w:space="0" w:color="auto"/>
            </w:tcBorders>
          </w:tcPr>
          <w:p w:rsidR="005F7109" w:rsidRDefault="005F7109" w:rsidP="00C55DD1">
            <w:pPr>
              <w:pStyle w:val="BodyText1"/>
              <w:jc w:val="right"/>
            </w:pPr>
            <w:r>
              <w:t>66</w:t>
            </w:r>
          </w:p>
        </w:tc>
        <w:tc>
          <w:tcPr>
            <w:tcW w:w="847" w:type="dxa"/>
            <w:tcBorders>
              <w:bottom w:val="single" w:sz="4" w:space="0" w:color="auto"/>
            </w:tcBorders>
          </w:tcPr>
          <w:p w:rsidR="005F7109" w:rsidRDefault="005F7109" w:rsidP="00C55DD1">
            <w:pPr>
              <w:pStyle w:val="BodyText1"/>
              <w:jc w:val="right"/>
            </w:pPr>
            <w:r>
              <w:t>66</w:t>
            </w:r>
          </w:p>
        </w:tc>
        <w:tc>
          <w:tcPr>
            <w:tcW w:w="750" w:type="dxa"/>
            <w:tcBorders>
              <w:bottom w:val="single" w:sz="4" w:space="0" w:color="auto"/>
            </w:tcBorders>
          </w:tcPr>
          <w:p w:rsidR="005F7109" w:rsidRDefault="005F7109" w:rsidP="00C55DD1">
            <w:pPr>
              <w:pStyle w:val="BodyText1"/>
              <w:jc w:val="right"/>
            </w:pPr>
            <w:r>
              <w:t>0</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21,171</w:t>
            </w:r>
          </w:p>
        </w:tc>
        <w:tc>
          <w:tcPr>
            <w:tcW w:w="1128"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21,039</w:t>
            </w:r>
          </w:p>
        </w:tc>
        <w:tc>
          <w:tcPr>
            <w:tcW w:w="1150"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21,025</w:t>
            </w:r>
          </w:p>
        </w:tc>
        <w:tc>
          <w:tcPr>
            <w:tcW w:w="1391"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14</w:t>
            </w:r>
          </w:p>
        </w:tc>
        <w:tc>
          <w:tcPr>
            <w:tcW w:w="2284" w:type="dxa"/>
          </w:tcPr>
          <w:p w:rsidR="005F7109" w:rsidRDefault="005F7109" w:rsidP="00C55DD1">
            <w:pPr>
              <w:pStyle w:val="BodyText1"/>
            </w:pPr>
          </w:p>
        </w:tc>
        <w:tc>
          <w:tcPr>
            <w:tcW w:w="846"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4,547</w:t>
            </w:r>
          </w:p>
        </w:tc>
        <w:tc>
          <w:tcPr>
            <w:tcW w:w="847"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4,463</w:t>
            </w:r>
          </w:p>
        </w:tc>
        <w:tc>
          <w:tcPr>
            <w:tcW w:w="750" w:type="dxa"/>
            <w:tcBorders>
              <w:top w:val="single" w:sz="4" w:space="0" w:color="auto"/>
              <w:bottom w:val="single" w:sz="4" w:space="0" w:color="auto"/>
            </w:tcBorders>
          </w:tcPr>
          <w:p w:rsidR="005F7109" w:rsidRPr="000B16E8" w:rsidRDefault="005F7109" w:rsidP="00C55DD1">
            <w:pPr>
              <w:pStyle w:val="BodyText1"/>
              <w:jc w:val="right"/>
              <w:rPr>
                <w:b/>
              </w:rPr>
            </w:pPr>
            <w:r w:rsidRPr="000B16E8">
              <w:rPr>
                <w:b/>
              </w:rPr>
              <w:t>84</w:t>
            </w:r>
          </w:p>
        </w:tc>
        <w:tc>
          <w:tcPr>
            <w:tcW w:w="1569" w:type="dxa"/>
          </w:tcPr>
          <w:p w:rsidR="005F7109" w:rsidRDefault="005F7109" w:rsidP="00C55DD1">
            <w:pPr>
              <w:pStyle w:val="BodyText1"/>
            </w:pPr>
          </w:p>
        </w:tc>
      </w:tr>
      <w:tr w:rsidR="005F7109" w:rsidTr="00C55DD1">
        <w:tc>
          <w:tcPr>
            <w:tcW w:w="2689" w:type="dxa"/>
          </w:tcPr>
          <w:p w:rsidR="005F7109" w:rsidRDefault="005F7109" w:rsidP="00C55DD1">
            <w:pPr>
              <w:pStyle w:val="BodyText1"/>
            </w:pPr>
          </w:p>
        </w:tc>
        <w:tc>
          <w:tcPr>
            <w:tcW w:w="1091" w:type="dxa"/>
          </w:tcPr>
          <w:p w:rsidR="005F7109" w:rsidRDefault="005F7109" w:rsidP="00C55DD1">
            <w:pPr>
              <w:pStyle w:val="BodyText1"/>
              <w:jc w:val="center"/>
            </w:pPr>
          </w:p>
        </w:tc>
        <w:tc>
          <w:tcPr>
            <w:tcW w:w="1234" w:type="dxa"/>
            <w:tcBorders>
              <w:top w:val="single" w:sz="4" w:space="0" w:color="auto"/>
            </w:tcBorders>
          </w:tcPr>
          <w:p w:rsidR="005F7109" w:rsidRDefault="005F7109" w:rsidP="00C55DD1">
            <w:pPr>
              <w:pStyle w:val="BodyText1"/>
              <w:jc w:val="right"/>
            </w:pPr>
          </w:p>
        </w:tc>
        <w:tc>
          <w:tcPr>
            <w:tcW w:w="1128" w:type="dxa"/>
            <w:tcBorders>
              <w:top w:val="single" w:sz="4" w:space="0" w:color="auto"/>
            </w:tcBorders>
          </w:tcPr>
          <w:p w:rsidR="005F7109" w:rsidRDefault="005F7109" w:rsidP="00C55DD1">
            <w:pPr>
              <w:pStyle w:val="BodyText1"/>
              <w:jc w:val="right"/>
            </w:pPr>
          </w:p>
        </w:tc>
        <w:tc>
          <w:tcPr>
            <w:tcW w:w="1150" w:type="dxa"/>
            <w:tcBorders>
              <w:top w:val="single" w:sz="4" w:space="0" w:color="auto"/>
            </w:tcBorders>
          </w:tcPr>
          <w:p w:rsidR="005F7109" w:rsidRDefault="005F7109" w:rsidP="00C55DD1">
            <w:pPr>
              <w:pStyle w:val="BodyText1"/>
              <w:jc w:val="right"/>
            </w:pPr>
          </w:p>
        </w:tc>
        <w:tc>
          <w:tcPr>
            <w:tcW w:w="1391" w:type="dxa"/>
            <w:tcBorders>
              <w:top w:val="single" w:sz="4" w:space="0" w:color="auto"/>
            </w:tcBorders>
          </w:tcPr>
          <w:p w:rsidR="005F7109" w:rsidRDefault="005F7109" w:rsidP="00C55DD1">
            <w:pPr>
              <w:pStyle w:val="BodyText1"/>
              <w:jc w:val="right"/>
            </w:pPr>
          </w:p>
        </w:tc>
        <w:tc>
          <w:tcPr>
            <w:tcW w:w="2284" w:type="dxa"/>
          </w:tcPr>
          <w:p w:rsidR="005F7109" w:rsidRDefault="005F7109" w:rsidP="00C55DD1">
            <w:pPr>
              <w:pStyle w:val="BodyText1"/>
            </w:pPr>
          </w:p>
        </w:tc>
        <w:tc>
          <w:tcPr>
            <w:tcW w:w="846" w:type="dxa"/>
            <w:tcBorders>
              <w:top w:val="single" w:sz="4" w:space="0" w:color="auto"/>
            </w:tcBorders>
          </w:tcPr>
          <w:p w:rsidR="005F7109" w:rsidRDefault="005F7109" w:rsidP="00C55DD1">
            <w:pPr>
              <w:pStyle w:val="BodyText1"/>
              <w:jc w:val="right"/>
            </w:pPr>
          </w:p>
        </w:tc>
        <w:tc>
          <w:tcPr>
            <w:tcW w:w="847" w:type="dxa"/>
            <w:tcBorders>
              <w:top w:val="single" w:sz="4" w:space="0" w:color="auto"/>
            </w:tcBorders>
          </w:tcPr>
          <w:p w:rsidR="005F7109" w:rsidRDefault="005F7109" w:rsidP="00C55DD1">
            <w:pPr>
              <w:pStyle w:val="BodyText1"/>
              <w:jc w:val="right"/>
            </w:pPr>
          </w:p>
        </w:tc>
        <w:tc>
          <w:tcPr>
            <w:tcW w:w="750" w:type="dxa"/>
            <w:tcBorders>
              <w:top w:val="single" w:sz="4" w:space="0" w:color="auto"/>
            </w:tcBorders>
          </w:tcPr>
          <w:p w:rsidR="005F7109" w:rsidRDefault="005F7109" w:rsidP="00C55DD1">
            <w:pPr>
              <w:pStyle w:val="BodyText1"/>
              <w:jc w:val="right"/>
            </w:pPr>
          </w:p>
        </w:tc>
        <w:tc>
          <w:tcPr>
            <w:tcW w:w="1569" w:type="dxa"/>
          </w:tcPr>
          <w:p w:rsidR="005F7109" w:rsidRDefault="005F7109" w:rsidP="00C55DD1">
            <w:pPr>
              <w:pStyle w:val="BodyText1"/>
            </w:pPr>
          </w:p>
        </w:tc>
      </w:tr>
      <w:tr w:rsidR="005F7109" w:rsidTr="00C55DD1">
        <w:tc>
          <w:tcPr>
            <w:tcW w:w="2689" w:type="dxa"/>
          </w:tcPr>
          <w:p w:rsidR="005F7109" w:rsidRPr="0017764C" w:rsidRDefault="005F7109" w:rsidP="00C55DD1">
            <w:pPr>
              <w:pStyle w:val="BodyText1"/>
              <w:rPr>
                <w:b/>
              </w:rPr>
            </w:pPr>
            <w:r w:rsidRPr="0017764C">
              <w:rPr>
                <w:b/>
              </w:rPr>
              <w:t>Surplus/(Deficit)</w:t>
            </w:r>
          </w:p>
        </w:tc>
        <w:tc>
          <w:tcPr>
            <w:tcW w:w="1091" w:type="dxa"/>
          </w:tcPr>
          <w:p w:rsidR="005F7109" w:rsidRPr="0017764C" w:rsidRDefault="005F7109" w:rsidP="00C55DD1">
            <w:pPr>
              <w:pStyle w:val="BodyText1"/>
              <w:jc w:val="center"/>
              <w:rPr>
                <w:b/>
              </w:rPr>
            </w:pPr>
          </w:p>
        </w:tc>
        <w:tc>
          <w:tcPr>
            <w:tcW w:w="1234" w:type="dxa"/>
            <w:tcBorders>
              <w:bottom w:val="single" w:sz="4" w:space="0" w:color="auto"/>
            </w:tcBorders>
          </w:tcPr>
          <w:p w:rsidR="005F7109" w:rsidRPr="0017764C" w:rsidRDefault="005F7109" w:rsidP="00C55DD1">
            <w:pPr>
              <w:pStyle w:val="BodyText1"/>
              <w:jc w:val="right"/>
              <w:rPr>
                <w:b/>
              </w:rPr>
            </w:pPr>
            <w:r w:rsidRPr="0017764C">
              <w:rPr>
                <w:b/>
              </w:rPr>
              <w:t>0</w:t>
            </w:r>
          </w:p>
        </w:tc>
        <w:tc>
          <w:tcPr>
            <w:tcW w:w="1128" w:type="dxa"/>
            <w:tcBorders>
              <w:bottom w:val="single" w:sz="4" w:space="0" w:color="auto"/>
            </w:tcBorders>
          </w:tcPr>
          <w:p w:rsidR="005F7109" w:rsidRPr="0017764C" w:rsidRDefault="005F7109" w:rsidP="00C55DD1">
            <w:pPr>
              <w:pStyle w:val="BodyText1"/>
              <w:jc w:val="right"/>
              <w:rPr>
                <w:b/>
              </w:rPr>
            </w:pPr>
            <w:r w:rsidRPr="0017764C">
              <w:rPr>
                <w:b/>
              </w:rPr>
              <w:t>0</w:t>
            </w:r>
          </w:p>
        </w:tc>
        <w:tc>
          <w:tcPr>
            <w:tcW w:w="1150" w:type="dxa"/>
            <w:tcBorders>
              <w:bottom w:val="single" w:sz="4" w:space="0" w:color="auto"/>
            </w:tcBorders>
          </w:tcPr>
          <w:p w:rsidR="005F7109" w:rsidRPr="0017764C" w:rsidRDefault="005F7109" w:rsidP="00C55DD1">
            <w:pPr>
              <w:pStyle w:val="BodyText1"/>
              <w:jc w:val="right"/>
              <w:rPr>
                <w:b/>
              </w:rPr>
            </w:pPr>
            <w:r w:rsidRPr="0017764C">
              <w:rPr>
                <w:b/>
              </w:rPr>
              <w:t>14</w:t>
            </w:r>
          </w:p>
        </w:tc>
        <w:tc>
          <w:tcPr>
            <w:tcW w:w="1391" w:type="dxa"/>
            <w:tcBorders>
              <w:bottom w:val="single" w:sz="4" w:space="0" w:color="auto"/>
            </w:tcBorders>
          </w:tcPr>
          <w:p w:rsidR="005F7109" w:rsidRPr="0017764C" w:rsidRDefault="005F7109" w:rsidP="00C55DD1">
            <w:pPr>
              <w:pStyle w:val="BodyText1"/>
              <w:jc w:val="right"/>
              <w:rPr>
                <w:b/>
              </w:rPr>
            </w:pPr>
            <w:r w:rsidRPr="0017764C">
              <w:rPr>
                <w:b/>
              </w:rPr>
              <w:t>14</w:t>
            </w:r>
          </w:p>
        </w:tc>
        <w:tc>
          <w:tcPr>
            <w:tcW w:w="2284" w:type="dxa"/>
          </w:tcPr>
          <w:p w:rsidR="005F7109" w:rsidRPr="0017764C" w:rsidRDefault="005F7109" w:rsidP="00C55DD1">
            <w:pPr>
              <w:pStyle w:val="BodyText1"/>
              <w:rPr>
                <w:b/>
              </w:rPr>
            </w:pPr>
          </w:p>
        </w:tc>
        <w:tc>
          <w:tcPr>
            <w:tcW w:w="846" w:type="dxa"/>
            <w:tcBorders>
              <w:bottom w:val="single" w:sz="4" w:space="0" w:color="auto"/>
            </w:tcBorders>
          </w:tcPr>
          <w:p w:rsidR="005F7109" w:rsidRPr="0017764C" w:rsidRDefault="005F7109" w:rsidP="00C55DD1">
            <w:pPr>
              <w:pStyle w:val="BodyText1"/>
              <w:jc w:val="right"/>
              <w:rPr>
                <w:b/>
              </w:rPr>
            </w:pPr>
            <w:r w:rsidRPr="0017764C">
              <w:rPr>
                <w:b/>
              </w:rPr>
              <w:t>0</w:t>
            </w:r>
          </w:p>
        </w:tc>
        <w:tc>
          <w:tcPr>
            <w:tcW w:w="847" w:type="dxa"/>
            <w:tcBorders>
              <w:bottom w:val="single" w:sz="4" w:space="0" w:color="auto"/>
            </w:tcBorders>
          </w:tcPr>
          <w:p w:rsidR="005F7109" w:rsidRPr="0017764C" w:rsidRDefault="005F7109" w:rsidP="00C55DD1">
            <w:pPr>
              <w:pStyle w:val="BodyText1"/>
              <w:jc w:val="right"/>
              <w:rPr>
                <w:b/>
              </w:rPr>
            </w:pPr>
            <w:r w:rsidRPr="0017764C">
              <w:rPr>
                <w:b/>
              </w:rPr>
              <w:t>84</w:t>
            </w:r>
          </w:p>
        </w:tc>
        <w:tc>
          <w:tcPr>
            <w:tcW w:w="750" w:type="dxa"/>
            <w:tcBorders>
              <w:bottom w:val="single" w:sz="4" w:space="0" w:color="auto"/>
            </w:tcBorders>
          </w:tcPr>
          <w:p w:rsidR="005F7109" w:rsidRPr="0017764C" w:rsidRDefault="005F7109" w:rsidP="00C55DD1">
            <w:pPr>
              <w:pStyle w:val="BodyText1"/>
              <w:jc w:val="right"/>
              <w:rPr>
                <w:b/>
              </w:rPr>
            </w:pPr>
            <w:r w:rsidRPr="0017764C">
              <w:rPr>
                <w:b/>
              </w:rPr>
              <w:t>84</w:t>
            </w:r>
          </w:p>
        </w:tc>
        <w:tc>
          <w:tcPr>
            <w:tcW w:w="1569" w:type="dxa"/>
          </w:tcPr>
          <w:p w:rsidR="005F7109" w:rsidRDefault="005F7109" w:rsidP="00C55DD1">
            <w:pPr>
              <w:pStyle w:val="BodyText1"/>
            </w:pPr>
          </w:p>
        </w:tc>
      </w:tr>
    </w:tbl>
    <w:p w:rsidR="005F7109" w:rsidRDefault="005F7109" w:rsidP="005F7109">
      <w:pPr>
        <w:pStyle w:val="BodyText1"/>
      </w:pPr>
    </w:p>
    <w:p w:rsidR="005F7109" w:rsidRDefault="005F7109" w:rsidP="005F7109">
      <w:pPr>
        <w:pStyle w:val="BodyText1"/>
      </w:pPr>
    </w:p>
    <w:p w:rsidR="005F7109" w:rsidRDefault="005F7109" w:rsidP="005F7109">
      <w:pPr>
        <w:pStyle w:val="BodyText1"/>
      </w:pPr>
    </w:p>
    <w:p w:rsidR="005F7109" w:rsidRDefault="005F7109" w:rsidP="005F7109">
      <w:pPr>
        <w:pStyle w:val="BodyText1"/>
      </w:pP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1431"/>
        <w:gridCol w:w="1318"/>
        <w:gridCol w:w="1238"/>
        <w:gridCol w:w="236"/>
        <w:gridCol w:w="6380"/>
      </w:tblGrid>
      <w:tr w:rsidR="005F7109" w:rsidTr="00C55DD1">
        <w:tc>
          <w:tcPr>
            <w:tcW w:w="3539" w:type="dxa"/>
          </w:tcPr>
          <w:p w:rsidR="005F7109" w:rsidRPr="00C1014C" w:rsidRDefault="005F7109" w:rsidP="00C55DD1">
            <w:pPr>
              <w:pStyle w:val="BodyText1"/>
              <w:rPr>
                <w:b/>
              </w:rPr>
            </w:pPr>
            <w:r w:rsidRPr="00C1014C">
              <w:rPr>
                <w:b/>
              </w:rPr>
              <w:t>Notes</w:t>
            </w:r>
          </w:p>
        </w:tc>
        <w:tc>
          <w:tcPr>
            <w:tcW w:w="1431" w:type="dxa"/>
          </w:tcPr>
          <w:p w:rsidR="005F7109" w:rsidRDefault="005F7109" w:rsidP="00C55DD1">
            <w:pPr>
              <w:pStyle w:val="BodyText1"/>
              <w:jc w:val="right"/>
            </w:pPr>
            <w:r>
              <w:t>Fin Plan/</w:t>
            </w:r>
          </w:p>
        </w:tc>
        <w:tc>
          <w:tcPr>
            <w:tcW w:w="1318" w:type="dxa"/>
          </w:tcPr>
          <w:p w:rsidR="005F7109" w:rsidRDefault="005F7109" w:rsidP="00C55DD1">
            <w:pPr>
              <w:pStyle w:val="BodyText1"/>
              <w:jc w:val="right"/>
            </w:pPr>
            <w:r>
              <w:t>Revised</w:t>
            </w:r>
          </w:p>
        </w:tc>
        <w:tc>
          <w:tcPr>
            <w:tcW w:w="1238" w:type="dxa"/>
          </w:tcPr>
          <w:p w:rsidR="005F7109" w:rsidRDefault="005F7109" w:rsidP="00C55DD1">
            <w:pPr>
              <w:pStyle w:val="BodyText1"/>
              <w:jc w:val="right"/>
            </w:pP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p>
        </w:tc>
        <w:tc>
          <w:tcPr>
            <w:tcW w:w="1431" w:type="dxa"/>
          </w:tcPr>
          <w:p w:rsidR="005F7109" w:rsidRDefault="005F7109" w:rsidP="00C55DD1">
            <w:pPr>
              <w:pStyle w:val="BodyText1"/>
              <w:jc w:val="right"/>
            </w:pPr>
            <w:r>
              <w:t>Budget</w:t>
            </w:r>
          </w:p>
        </w:tc>
        <w:tc>
          <w:tcPr>
            <w:tcW w:w="1318" w:type="dxa"/>
          </w:tcPr>
          <w:p w:rsidR="005F7109" w:rsidRDefault="005F7109" w:rsidP="00C55DD1">
            <w:pPr>
              <w:pStyle w:val="BodyText1"/>
              <w:jc w:val="right"/>
            </w:pPr>
            <w:r>
              <w:t>Budget</w:t>
            </w:r>
          </w:p>
        </w:tc>
        <w:tc>
          <w:tcPr>
            <w:tcW w:w="1238" w:type="dxa"/>
          </w:tcPr>
          <w:p w:rsidR="005F7109" w:rsidRDefault="005F7109" w:rsidP="00C55DD1">
            <w:pPr>
              <w:pStyle w:val="BodyText1"/>
              <w:jc w:val="right"/>
            </w:pPr>
            <w:r>
              <w:t>Change</w:t>
            </w: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p>
        </w:tc>
        <w:tc>
          <w:tcPr>
            <w:tcW w:w="1431" w:type="dxa"/>
          </w:tcPr>
          <w:p w:rsidR="005F7109" w:rsidRDefault="005F7109" w:rsidP="00C55DD1">
            <w:pPr>
              <w:pStyle w:val="BodyText1"/>
              <w:jc w:val="right"/>
            </w:pPr>
            <w:r>
              <w:t>2019/20</w:t>
            </w:r>
          </w:p>
        </w:tc>
        <w:tc>
          <w:tcPr>
            <w:tcW w:w="1318" w:type="dxa"/>
          </w:tcPr>
          <w:p w:rsidR="005F7109" w:rsidRDefault="005F7109" w:rsidP="00C55DD1">
            <w:pPr>
              <w:pStyle w:val="BodyText1"/>
              <w:jc w:val="right"/>
            </w:pPr>
            <w:r>
              <w:t>2019/20</w:t>
            </w:r>
          </w:p>
        </w:tc>
        <w:tc>
          <w:tcPr>
            <w:tcW w:w="1238" w:type="dxa"/>
          </w:tcPr>
          <w:p w:rsidR="005F7109" w:rsidRDefault="005F7109" w:rsidP="00C55DD1">
            <w:pPr>
              <w:pStyle w:val="BodyText1"/>
              <w:jc w:val="right"/>
            </w:pPr>
            <w:r>
              <w:t>2019/20</w:t>
            </w: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p>
        </w:tc>
        <w:tc>
          <w:tcPr>
            <w:tcW w:w="1431" w:type="dxa"/>
          </w:tcPr>
          <w:p w:rsidR="005F7109" w:rsidRDefault="005F7109" w:rsidP="00C55DD1">
            <w:pPr>
              <w:pStyle w:val="BodyText1"/>
              <w:jc w:val="right"/>
            </w:pPr>
            <w:r>
              <w:t>FY</w:t>
            </w:r>
          </w:p>
        </w:tc>
        <w:tc>
          <w:tcPr>
            <w:tcW w:w="1318" w:type="dxa"/>
          </w:tcPr>
          <w:p w:rsidR="005F7109" w:rsidRDefault="005F7109" w:rsidP="00C55DD1">
            <w:pPr>
              <w:pStyle w:val="BodyText1"/>
              <w:jc w:val="right"/>
            </w:pPr>
            <w:r>
              <w:t>FY</w:t>
            </w:r>
          </w:p>
        </w:tc>
        <w:tc>
          <w:tcPr>
            <w:tcW w:w="1238" w:type="dxa"/>
          </w:tcPr>
          <w:p w:rsidR="005F7109" w:rsidRDefault="005F7109" w:rsidP="00C55DD1">
            <w:pPr>
              <w:pStyle w:val="BodyText1"/>
              <w:jc w:val="right"/>
            </w:pPr>
            <w:r>
              <w:t>FY</w:t>
            </w: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p>
        </w:tc>
        <w:tc>
          <w:tcPr>
            <w:tcW w:w="1431" w:type="dxa"/>
          </w:tcPr>
          <w:p w:rsidR="005F7109" w:rsidRDefault="005F7109" w:rsidP="00C55DD1">
            <w:pPr>
              <w:pStyle w:val="BodyText1"/>
              <w:jc w:val="right"/>
            </w:pPr>
            <w:r>
              <w:t>£000</w:t>
            </w:r>
          </w:p>
        </w:tc>
        <w:tc>
          <w:tcPr>
            <w:tcW w:w="1318" w:type="dxa"/>
          </w:tcPr>
          <w:p w:rsidR="005F7109" w:rsidRDefault="005F7109" w:rsidP="00C55DD1">
            <w:pPr>
              <w:pStyle w:val="BodyText1"/>
              <w:jc w:val="right"/>
            </w:pPr>
            <w:r>
              <w:t>£000</w:t>
            </w:r>
          </w:p>
        </w:tc>
        <w:tc>
          <w:tcPr>
            <w:tcW w:w="1238" w:type="dxa"/>
          </w:tcPr>
          <w:p w:rsidR="005F7109" w:rsidRDefault="005F7109" w:rsidP="00C55DD1">
            <w:pPr>
              <w:pStyle w:val="BodyText1"/>
              <w:jc w:val="right"/>
            </w:pPr>
            <w:r>
              <w:t>£000</w:t>
            </w:r>
          </w:p>
        </w:tc>
        <w:tc>
          <w:tcPr>
            <w:tcW w:w="236" w:type="dxa"/>
          </w:tcPr>
          <w:p w:rsidR="005F7109" w:rsidRDefault="005F7109" w:rsidP="00C55DD1">
            <w:pPr>
              <w:pStyle w:val="BodyText1"/>
              <w:jc w:val="right"/>
            </w:pPr>
          </w:p>
        </w:tc>
        <w:tc>
          <w:tcPr>
            <w:tcW w:w="6380" w:type="dxa"/>
          </w:tcPr>
          <w:p w:rsidR="005F7109" w:rsidRDefault="005F7109" w:rsidP="00C55DD1">
            <w:pPr>
              <w:pStyle w:val="BodyText1"/>
            </w:pPr>
            <w:r>
              <w:t>Comment</w:t>
            </w:r>
          </w:p>
        </w:tc>
      </w:tr>
      <w:tr w:rsidR="005F7109" w:rsidTr="00C55DD1">
        <w:tc>
          <w:tcPr>
            <w:tcW w:w="3539" w:type="dxa"/>
          </w:tcPr>
          <w:p w:rsidR="005F7109" w:rsidRPr="000676EA" w:rsidRDefault="005F7109" w:rsidP="00C55DD1">
            <w:pPr>
              <w:pStyle w:val="BodyText1"/>
              <w:rPr>
                <w:b/>
              </w:rPr>
            </w:pPr>
            <w:r>
              <w:rPr>
                <w:b/>
              </w:rPr>
              <w:t xml:space="preserve">1 </w:t>
            </w:r>
            <w:r w:rsidRPr="000676EA">
              <w:rPr>
                <w:b/>
              </w:rPr>
              <w:t>Income</w:t>
            </w:r>
          </w:p>
        </w:tc>
        <w:tc>
          <w:tcPr>
            <w:tcW w:w="1431" w:type="dxa"/>
          </w:tcPr>
          <w:p w:rsidR="005F7109" w:rsidRDefault="005F7109" w:rsidP="00C55DD1">
            <w:pPr>
              <w:pStyle w:val="BodyText1"/>
              <w:jc w:val="right"/>
            </w:pPr>
          </w:p>
        </w:tc>
        <w:tc>
          <w:tcPr>
            <w:tcW w:w="1318" w:type="dxa"/>
          </w:tcPr>
          <w:p w:rsidR="005F7109" w:rsidRDefault="005F7109" w:rsidP="00C55DD1">
            <w:pPr>
              <w:pStyle w:val="BodyText1"/>
              <w:jc w:val="right"/>
            </w:pPr>
          </w:p>
        </w:tc>
        <w:tc>
          <w:tcPr>
            <w:tcW w:w="1238" w:type="dxa"/>
          </w:tcPr>
          <w:p w:rsidR="005F7109" w:rsidRDefault="005F7109" w:rsidP="00C55DD1">
            <w:pPr>
              <w:pStyle w:val="BodyText1"/>
              <w:jc w:val="right"/>
            </w:pP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r>
              <w:t>Baseline Funding:</w:t>
            </w:r>
          </w:p>
        </w:tc>
        <w:tc>
          <w:tcPr>
            <w:tcW w:w="1431" w:type="dxa"/>
          </w:tcPr>
          <w:p w:rsidR="005F7109" w:rsidRDefault="005F7109" w:rsidP="00C55DD1">
            <w:pPr>
              <w:pStyle w:val="BodyText1"/>
              <w:jc w:val="right"/>
            </w:pPr>
          </w:p>
        </w:tc>
        <w:tc>
          <w:tcPr>
            <w:tcW w:w="1318" w:type="dxa"/>
          </w:tcPr>
          <w:p w:rsidR="005F7109" w:rsidRDefault="005F7109" w:rsidP="00C55DD1">
            <w:pPr>
              <w:pStyle w:val="BodyText1"/>
              <w:jc w:val="right"/>
            </w:pPr>
          </w:p>
        </w:tc>
        <w:tc>
          <w:tcPr>
            <w:tcW w:w="1238" w:type="dxa"/>
          </w:tcPr>
          <w:p w:rsidR="005F7109" w:rsidRDefault="005F7109" w:rsidP="00C55DD1">
            <w:pPr>
              <w:pStyle w:val="BodyText1"/>
              <w:jc w:val="right"/>
            </w:pP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r>
              <w:t>Baseline allocation b/f</w:t>
            </w:r>
          </w:p>
        </w:tc>
        <w:tc>
          <w:tcPr>
            <w:tcW w:w="1431" w:type="dxa"/>
          </w:tcPr>
          <w:p w:rsidR="005F7109" w:rsidRDefault="005F7109" w:rsidP="00C55DD1">
            <w:pPr>
              <w:pStyle w:val="BodyText1"/>
              <w:jc w:val="right"/>
            </w:pPr>
            <w:r>
              <w:t>18,177</w:t>
            </w:r>
          </w:p>
        </w:tc>
        <w:tc>
          <w:tcPr>
            <w:tcW w:w="1318" w:type="dxa"/>
          </w:tcPr>
          <w:p w:rsidR="005F7109" w:rsidRDefault="005F7109" w:rsidP="00C55DD1">
            <w:pPr>
              <w:pStyle w:val="BodyText1"/>
              <w:jc w:val="right"/>
            </w:pPr>
            <w:r>
              <w:t>18,177</w:t>
            </w:r>
          </w:p>
        </w:tc>
        <w:tc>
          <w:tcPr>
            <w:tcW w:w="1238" w:type="dxa"/>
          </w:tcPr>
          <w:p w:rsidR="005F7109" w:rsidRDefault="005F7109" w:rsidP="00C55DD1">
            <w:pPr>
              <w:pStyle w:val="BodyText1"/>
              <w:jc w:val="right"/>
            </w:pP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r>
              <w:t>Pay Award</w:t>
            </w:r>
          </w:p>
        </w:tc>
        <w:tc>
          <w:tcPr>
            <w:tcW w:w="1431" w:type="dxa"/>
          </w:tcPr>
          <w:p w:rsidR="005F7109" w:rsidRDefault="005F7109" w:rsidP="00C55DD1">
            <w:pPr>
              <w:pStyle w:val="BodyText1"/>
              <w:jc w:val="right"/>
            </w:pPr>
            <w:r>
              <w:t>237</w:t>
            </w:r>
          </w:p>
        </w:tc>
        <w:tc>
          <w:tcPr>
            <w:tcW w:w="1318" w:type="dxa"/>
          </w:tcPr>
          <w:p w:rsidR="005F7109" w:rsidRDefault="005F7109" w:rsidP="00C55DD1">
            <w:pPr>
              <w:pStyle w:val="BodyText1"/>
              <w:jc w:val="right"/>
            </w:pPr>
            <w:r>
              <w:t>200</w:t>
            </w:r>
          </w:p>
        </w:tc>
        <w:tc>
          <w:tcPr>
            <w:tcW w:w="1238" w:type="dxa"/>
          </w:tcPr>
          <w:p w:rsidR="005F7109" w:rsidRDefault="005F7109" w:rsidP="00C55DD1">
            <w:pPr>
              <w:pStyle w:val="BodyText1"/>
              <w:jc w:val="right"/>
            </w:pPr>
            <w:r>
              <w:t>(37)</w:t>
            </w:r>
          </w:p>
        </w:tc>
        <w:tc>
          <w:tcPr>
            <w:tcW w:w="236" w:type="dxa"/>
          </w:tcPr>
          <w:p w:rsidR="005F7109" w:rsidRDefault="005F7109" w:rsidP="00C55DD1">
            <w:pPr>
              <w:pStyle w:val="BodyText1"/>
              <w:jc w:val="right"/>
            </w:pPr>
          </w:p>
        </w:tc>
        <w:tc>
          <w:tcPr>
            <w:tcW w:w="6380" w:type="dxa"/>
          </w:tcPr>
          <w:p w:rsidR="005F7109" w:rsidRDefault="005F7109" w:rsidP="00C55DD1">
            <w:pPr>
              <w:pStyle w:val="BodyText1"/>
            </w:pPr>
            <w:r>
              <w:t>£237k pay award in 2018/19 so used same figure for 2019/20 but SG only gave an £200k uplift. Shortfall of £37k taken to staff savings</w:t>
            </w:r>
          </w:p>
        </w:tc>
      </w:tr>
      <w:tr w:rsidR="005F7109" w:rsidTr="00C55DD1">
        <w:tc>
          <w:tcPr>
            <w:tcW w:w="3539" w:type="dxa"/>
          </w:tcPr>
          <w:p w:rsidR="005F7109" w:rsidRDefault="005F7109" w:rsidP="00C55DD1">
            <w:pPr>
              <w:pStyle w:val="BodyText1"/>
            </w:pPr>
            <w:r>
              <w:t xml:space="preserve">Employers Pension </w:t>
            </w:r>
          </w:p>
        </w:tc>
        <w:tc>
          <w:tcPr>
            <w:tcW w:w="1431" w:type="dxa"/>
          </w:tcPr>
          <w:p w:rsidR="005F7109" w:rsidRPr="000676EA" w:rsidRDefault="005F7109" w:rsidP="00C55DD1">
            <w:pPr>
              <w:pStyle w:val="BodyText1"/>
              <w:jc w:val="right"/>
            </w:pPr>
            <w:r w:rsidRPr="000676EA">
              <w:t>670</w:t>
            </w:r>
          </w:p>
        </w:tc>
        <w:tc>
          <w:tcPr>
            <w:tcW w:w="1318" w:type="dxa"/>
          </w:tcPr>
          <w:p w:rsidR="005F7109" w:rsidRPr="000676EA" w:rsidRDefault="005F7109" w:rsidP="00C55DD1">
            <w:pPr>
              <w:pStyle w:val="BodyText1"/>
              <w:jc w:val="right"/>
            </w:pPr>
            <w:r w:rsidRPr="000676EA">
              <w:t>586</w:t>
            </w:r>
          </w:p>
        </w:tc>
        <w:tc>
          <w:tcPr>
            <w:tcW w:w="1238" w:type="dxa"/>
          </w:tcPr>
          <w:p w:rsidR="005F7109" w:rsidRPr="000676EA" w:rsidRDefault="005F7109" w:rsidP="00C55DD1">
            <w:pPr>
              <w:pStyle w:val="BodyText1"/>
              <w:jc w:val="right"/>
            </w:pPr>
            <w:r w:rsidRPr="000676EA">
              <w:t>(84)</w:t>
            </w:r>
          </w:p>
        </w:tc>
        <w:tc>
          <w:tcPr>
            <w:tcW w:w="236" w:type="dxa"/>
          </w:tcPr>
          <w:p w:rsidR="005F7109" w:rsidRDefault="005F7109" w:rsidP="00C55DD1">
            <w:pPr>
              <w:pStyle w:val="BodyText1"/>
              <w:jc w:val="right"/>
            </w:pPr>
          </w:p>
        </w:tc>
        <w:tc>
          <w:tcPr>
            <w:tcW w:w="6380" w:type="dxa"/>
          </w:tcPr>
          <w:p w:rsidR="005F7109" w:rsidRDefault="005F7109" w:rsidP="00C55DD1">
            <w:pPr>
              <w:pStyle w:val="BodyText1"/>
            </w:pPr>
            <w:r>
              <w:t>£670k increase based on staff salaries estimate for 2019/20 but SG gave increase based on actual salaries in 2018/19 which for HS was unusually low hence shortfall which has increased our staff savings target</w:t>
            </w:r>
          </w:p>
        </w:tc>
      </w:tr>
      <w:tr w:rsidR="005F7109" w:rsidTr="00C55DD1">
        <w:tc>
          <w:tcPr>
            <w:tcW w:w="3539" w:type="dxa"/>
          </w:tcPr>
          <w:p w:rsidR="005F7109" w:rsidRDefault="005F7109" w:rsidP="00C55DD1">
            <w:pPr>
              <w:pStyle w:val="BodyText1"/>
            </w:pPr>
            <w:r>
              <w:t>National Boards £15m Share</w:t>
            </w:r>
          </w:p>
        </w:tc>
        <w:tc>
          <w:tcPr>
            <w:tcW w:w="1431" w:type="dxa"/>
            <w:tcBorders>
              <w:bottom w:val="single" w:sz="4" w:space="0" w:color="auto"/>
            </w:tcBorders>
          </w:tcPr>
          <w:p w:rsidR="005F7109" w:rsidRDefault="005F7109" w:rsidP="00C55DD1">
            <w:pPr>
              <w:pStyle w:val="BodyText1"/>
              <w:jc w:val="right"/>
            </w:pPr>
            <w:r>
              <w:t>(75)</w:t>
            </w:r>
          </w:p>
        </w:tc>
        <w:tc>
          <w:tcPr>
            <w:tcW w:w="1318" w:type="dxa"/>
            <w:tcBorders>
              <w:bottom w:val="single" w:sz="4" w:space="0" w:color="auto"/>
            </w:tcBorders>
          </w:tcPr>
          <w:p w:rsidR="005F7109" w:rsidRDefault="005F7109" w:rsidP="00C55DD1">
            <w:pPr>
              <w:pStyle w:val="BodyText1"/>
              <w:jc w:val="right"/>
            </w:pPr>
            <w:r>
              <w:t>(67)</w:t>
            </w:r>
          </w:p>
        </w:tc>
        <w:tc>
          <w:tcPr>
            <w:tcW w:w="1238" w:type="dxa"/>
            <w:tcBorders>
              <w:bottom w:val="single" w:sz="4" w:space="0" w:color="auto"/>
            </w:tcBorders>
          </w:tcPr>
          <w:p w:rsidR="005F7109" w:rsidRDefault="005F7109" w:rsidP="00C55DD1">
            <w:pPr>
              <w:pStyle w:val="BodyText1"/>
              <w:jc w:val="right"/>
            </w:pPr>
            <w:r>
              <w:t>8</w:t>
            </w:r>
          </w:p>
        </w:tc>
        <w:tc>
          <w:tcPr>
            <w:tcW w:w="236" w:type="dxa"/>
          </w:tcPr>
          <w:p w:rsidR="005F7109" w:rsidRDefault="005F7109" w:rsidP="00C55DD1">
            <w:pPr>
              <w:pStyle w:val="BodyText1"/>
              <w:jc w:val="right"/>
            </w:pPr>
          </w:p>
        </w:tc>
        <w:tc>
          <w:tcPr>
            <w:tcW w:w="6380" w:type="dxa"/>
          </w:tcPr>
          <w:p w:rsidR="005F7109" w:rsidRDefault="005F7109" w:rsidP="00C55DD1">
            <w:pPr>
              <w:pStyle w:val="BodyText1"/>
            </w:pPr>
            <w:r>
              <w:t>£325k in 2018/19 as recurring with expected increase of £75k to £400k in 2019/20 but was taken at £392k in 2018/29 being a £67k recurring increase. Taken as contingency adjustment</w:t>
            </w:r>
          </w:p>
        </w:tc>
      </w:tr>
      <w:tr w:rsidR="005F7109" w:rsidTr="00C55DD1">
        <w:tc>
          <w:tcPr>
            <w:tcW w:w="3539" w:type="dxa"/>
          </w:tcPr>
          <w:p w:rsidR="005F7109" w:rsidRPr="000676EA" w:rsidRDefault="005F7109" w:rsidP="00C55DD1">
            <w:pPr>
              <w:pStyle w:val="BodyText1"/>
              <w:rPr>
                <w:b/>
              </w:rPr>
            </w:pPr>
            <w:r>
              <w:rPr>
                <w:b/>
              </w:rPr>
              <w:t>Baseline Funding</w:t>
            </w:r>
          </w:p>
        </w:tc>
        <w:tc>
          <w:tcPr>
            <w:tcW w:w="1431" w:type="dxa"/>
            <w:tcBorders>
              <w:top w:val="single" w:sz="4" w:space="0" w:color="auto"/>
            </w:tcBorders>
          </w:tcPr>
          <w:p w:rsidR="005F7109" w:rsidRDefault="005F7109" w:rsidP="00C55DD1">
            <w:pPr>
              <w:pStyle w:val="BodyText1"/>
              <w:jc w:val="right"/>
            </w:pPr>
            <w:r>
              <w:t>19,009</w:t>
            </w:r>
          </w:p>
        </w:tc>
        <w:tc>
          <w:tcPr>
            <w:tcW w:w="1318" w:type="dxa"/>
            <w:tcBorders>
              <w:top w:val="single" w:sz="4" w:space="0" w:color="auto"/>
            </w:tcBorders>
          </w:tcPr>
          <w:p w:rsidR="005F7109" w:rsidRDefault="005F7109" w:rsidP="00C55DD1">
            <w:pPr>
              <w:pStyle w:val="BodyText1"/>
              <w:jc w:val="right"/>
            </w:pPr>
            <w:r>
              <w:t>18,896</w:t>
            </w:r>
          </w:p>
        </w:tc>
        <w:tc>
          <w:tcPr>
            <w:tcW w:w="1238" w:type="dxa"/>
            <w:tcBorders>
              <w:top w:val="single" w:sz="4" w:space="0" w:color="auto"/>
            </w:tcBorders>
          </w:tcPr>
          <w:p w:rsidR="005F7109" w:rsidRDefault="005F7109" w:rsidP="00C55DD1">
            <w:pPr>
              <w:pStyle w:val="BodyText1"/>
              <w:jc w:val="right"/>
            </w:pPr>
            <w:r>
              <w:t>(113)</w:t>
            </w: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p>
        </w:tc>
        <w:tc>
          <w:tcPr>
            <w:tcW w:w="1431" w:type="dxa"/>
          </w:tcPr>
          <w:p w:rsidR="005F7109" w:rsidRDefault="005F7109" w:rsidP="00C55DD1">
            <w:pPr>
              <w:pStyle w:val="BodyText1"/>
              <w:jc w:val="right"/>
            </w:pPr>
          </w:p>
        </w:tc>
        <w:tc>
          <w:tcPr>
            <w:tcW w:w="1318" w:type="dxa"/>
          </w:tcPr>
          <w:p w:rsidR="005F7109" w:rsidRDefault="005F7109" w:rsidP="00C55DD1">
            <w:pPr>
              <w:pStyle w:val="BodyText1"/>
              <w:jc w:val="right"/>
            </w:pPr>
          </w:p>
        </w:tc>
        <w:tc>
          <w:tcPr>
            <w:tcW w:w="1238" w:type="dxa"/>
          </w:tcPr>
          <w:p w:rsidR="005F7109" w:rsidRDefault="005F7109" w:rsidP="00C55DD1">
            <w:pPr>
              <w:pStyle w:val="BodyText1"/>
              <w:jc w:val="right"/>
            </w:pP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Default="005F7109" w:rsidP="00C55DD1">
            <w:pPr>
              <w:pStyle w:val="BodyText1"/>
            </w:pPr>
            <w:r>
              <w:t>Surplus C/f</w:t>
            </w:r>
          </w:p>
        </w:tc>
        <w:tc>
          <w:tcPr>
            <w:tcW w:w="1431" w:type="dxa"/>
          </w:tcPr>
          <w:p w:rsidR="005F7109" w:rsidRDefault="005F7109" w:rsidP="00C55DD1">
            <w:pPr>
              <w:pStyle w:val="BodyText1"/>
              <w:jc w:val="right"/>
            </w:pPr>
            <w:r>
              <w:t>362</w:t>
            </w:r>
          </w:p>
        </w:tc>
        <w:tc>
          <w:tcPr>
            <w:tcW w:w="1318" w:type="dxa"/>
          </w:tcPr>
          <w:p w:rsidR="005F7109" w:rsidRDefault="005F7109" w:rsidP="00C55DD1">
            <w:pPr>
              <w:pStyle w:val="BodyText1"/>
              <w:jc w:val="right"/>
            </w:pPr>
            <w:r>
              <w:t>343</w:t>
            </w:r>
          </w:p>
        </w:tc>
        <w:tc>
          <w:tcPr>
            <w:tcW w:w="1238" w:type="dxa"/>
          </w:tcPr>
          <w:p w:rsidR="005F7109" w:rsidRDefault="005F7109" w:rsidP="00C55DD1">
            <w:pPr>
              <w:pStyle w:val="BodyText1"/>
              <w:jc w:val="right"/>
            </w:pPr>
            <w:r>
              <w:t>(19)</w:t>
            </w:r>
          </w:p>
        </w:tc>
        <w:tc>
          <w:tcPr>
            <w:tcW w:w="236" w:type="dxa"/>
          </w:tcPr>
          <w:p w:rsidR="005F7109" w:rsidRDefault="005F7109" w:rsidP="00C55DD1">
            <w:pPr>
              <w:pStyle w:val="BodyText1"/>
              <w:jc w:val="right"/>
            </w:pPr>
          </w:p>
        </w:tc>
        <w:tc>
          <w:tcPr>
            <w:tcW w:w="6380" w:type="dxa"/>
          </w:tcPr>
          <w:p w:rsidR="005F7109" w:rsidRDefault="005F7109" w:rsidP="00C55DD1">
            <w:pPr>
              <w:pStyle w:val="BodyText1"/>
            </w:pPr>
            <w:r>
              <w:t>Shortfall of £19k against our predicted surplus of £362k taken as a contingency adjustment. The Scottish Government have verbally confirmed that £343k can be taken forward in late July 2019</w:t>
            </w:r>
          </w:p>
        </w:tc>
      </w:tr>
      <w:tr w:rsidR="005F7109" w:rsidTr="00C55DD1">
        <w:tc>
          <w:tcPr>
            <w:tcW w:w="3539" w:type="dxa"/>
          </w:tcPr>
          <w:p w:rsidR="005F7109" w:rsidRDefault="005F7109" w:rsidP="00C55DD1">
            <w:pPr>
              <w:pStyle w:val="BodyText1"/>
            </w:pPr>
            <w:r>
              <w:t>Non-recurring funding</w:t>
            </w:r>
          </w:p>
        </w:tc>
        <w:tc>
          <w:tcPr>
            <w:tcW w:w="1431" w:type="dxa"/>
            <w:tcBorders>
              <w:bottom w:val="single" w:sz="4" w:space="0" w:color="auto"/>
            </w:tcBorders>
          </w:tcPr>
          <w:p w:rsidR="005F7109" w:rsidRDefault="005F7109" w:rsidP="00C55DD1">
            <w:pPr>
              <w:pStyle w:val="BodyText1"/>
              <w:jc w:val="right"/>
            </w:pPr>
            <w:r>
              <w:t>1,800</w:t>
            </w:r>
          </w:p>
        </w:tc>
        <w:tc>
          <w:tcPr>
            <w:tcW w:w="1318" w:type="dxa"/>
            <w:tcBorders>
              <w:bottom w:val="single" w:sz="4" w:space="0" w:color="auto"/>
            </w:tcBorders>
          </w:tcPr>
          <w:p w:rsidR="005F7109" w:rsidRDefault="005F7109" w:rsidP="00C55DD1">
            <w:pPr>
              <w:pStyle w:val="BodyText1"/>
              <w:jc w:val="right"/>
            </w:pPr>
            <w:r>
              <w:t>1,800</w:t>
            </w:r>
          </w:p>
        </w:tc>
        <w:tc>
          <w:tcPr>
            <w:tcW w:w="1238" w:type="dxa"/>
            <w:tcBorders>
              <w:bottom w:val="single" w:sz="4" w:space="0" w:color="auto"/>
            </w:tcBorders>
          </w:tcPr>
          <w:p w:rsidR="005F7109" w:rsidRDefault="005F7109" w:rsidP="00C55DD1">
            <w:pPr>
              <w:pStyle w:val="BodyText1"/>
              <w:jc w:val="right"/>
            </w:pPr>
            <w:r>
              <w:t>0</w:t>
            </w: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r w:rsidR="005F7109" w:rsidTr="00C55DD1">
        <w:tc>
          <w:tcPr>
            <w:tcW w:w="3539" w:type="dxa"/>
          </w:tcPr>
          <w:p w:rsidR="005F7109" w:rsidRPr="00D6021F" w:rsidRDefault="005F7109" w:rsidP="00C55DD1">
            <w:pPr>
              <w:pStyle w:val="BodyText1"/>
              <w:rPr>
                <w:b/>
              </w:rPr>
            </w:pPr>
            <w:r w:rsidRPr="00D6021F">
              <w:rPr>
                <w:b/>
              </w:rPr>
              <w:t>Total Income</w:t>
            </w:r>
          </w:p>
        </w:tc>
        <w:tc>
          <w:tcPr>
            <w:tcW w:w="1431" w:type="dxa"/>
            <w:tcBorders>
              <w:top w:val="single" w:sz="4" w:space="0" w:color="auto"/>
              <w:bottom w:val="single" w:sz="4" w:space="0" w:color="auto"/>
            </w:tcBorders>
          </w:tcPr>
          <w:p w:rsidR="005F7109" w:rsidRPr="00D6021F" w:rsidRDefault="005F7109" w:rsidP="00C55DD1">
            <w:pPr>
              <w:pStyle w:val="BodyText1"/>
              <w:jc w:val="right"/>
              <w:rPr>
                <w:b/>
              </w:rPr>
            </w:pPr>
            <w:r w:rsidRPr="00D6021F">
              <w:rPr>
                <w:b/>
              </w:rPr>
              <w:t>21,171</w:t>
            </w:r>
          </w:p>
        </w:tc>
        <w:tc>
          <w:tcPr>
            <w:tcW w:w="1318" w:type="dxa"/>
            <w:tcBorders>
              <w:top w:val="single" w:sz="4" w:space="0" w:color="auto"/>
              <w:bottom w:val="single" w:sz="4" w:space="0" w:color="auto"/>
            </w:tcBorders>
          </w:tcPr>
          <w:p w:rsidR="005F7109" w:rsidRPr="00D6021F" w:rsidRDefault="005F7109" w:rsidP="00C55DD1">
            <w:pPr>
              <w:pStyle w:val="BodyText1"/>
              <w:jc w:val="right"/>
              <w:rPr>
                <w:b/>
              </w:rPr>
            </w:pPr>
            <w:r w:rsidRPr="00D6021F">
              <w:rPr>
                <w:b/>
              </w:rPr>
              <w:t>21,039</w:t>
            </w:r>
          </w:p>
        </w:tc>
        <w:tc>
          <w:tcPr>
            <w:tcW w:w="1238" w:type="dxa"/>
            <w:tcBorders>
              <w:top w:val="single" w:sz="4" w:space="0" w:color="auto"/>
              <w:bottom w:val="single" w:sz="4" w:space="0" w:color="auto"/>
            </w:tcBorders>
          </w:tcPr>
          <w:p w:rsidR="005F7109" w:rsidRPr="00D6021F" w:rsidRDefault="005F7109" w:rsidP="00C55DD1">
            <w:pPr>
              <w:pStyle w:val="BodyText1"/>
              <w:jc w:val="right"/>
              <w:rPr>
                <w:b/>
              </w:rPr>
            </w:pPr>
            <w:r w:rsidRPr="00D6021F">
              <w:rPr>
                <w:b/>
              </w:rPr>
              <w:t>(132)</w:t>
            </w:r>
          </w:p>
        </w:tc>
        <w:tc>
          <w:tcPr>
            <w:tcW w:w="236" w:type="dxa"/>
          </w:tcPr>
          <w:p w:rsidR="005F7109" w:rsidRDefault="005F7109" w:rsidP="00C55DD1">
            <w:pPr>
              <w:pStyle w:val="BodyText1"/>
              <w:jc w:val="right"/>
            </w:pPr>
          </w:p>
        </w:tc>
        <w:tc>
          <w:tcPr>
            <w:tcW w:w="6380" w:type="dxa"/>
          </w:tcPr>
          <w:p w:rsidR="005F7109" w:rsidRDefault="005F7109" w:rsidP="00C55DD1">
            <w:pPr>
              <w:pStyle w:val="BodyText1"/>
              <w:jc w:val="right"/>
            </w:pPr>
          </w:p>
        </w:tc>
      </w:tr>
    </w:tbl>
    <w:p w:rsidR="005F7109" w:rsidRDefault="005F7109" w:rsidP="005F7109">
      <w:r>
        <w:br w:type="page"/>
      </w:r>
    </w:p>
    <w:tbl>
      <w:tblPr>
        <w:tblStyle w:val="TableGrid"/>
        <w:tblW w:w="14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76"/>
        <w:gridCol w:w="1134"/>
        <w:gridCol w:w="1134"/>
        <w:gridCol w:w="283"/>
        <w:gridCol w:w="6776"/>
      </w:tblGrid>
      <w:tr w:rsidR="005F7109" w:rsidTr="00C55DD1">
        <w:tc>
          <w:tcPr>
            <w:tcW w:w="3686" w:type="dxa"/>
          </w:tcPr>
          <w:p w:rsidR="005F7109" w:rsidRDefault="005F7109" w:rsidP="00C55DD1">
            <w:pPr>
              <w:pStyle w:val="BodyText1"/>
            </w:pPr>
            <w:r>
              <w:lastRenderedPageBreak/>
              <w:t>Notes (cont.)</w:t>
            </w:r>
          </w:p>
        </w:tc>
        <w:tc>
          <w:tcPr>
            <w:tcW w:w="1276" w:type="dxa"/>
          </w:tcPr>
          <w:p w:rsidR="005F7109" w:rsidRDefault="005F7109" w:rsidP="00C55DD1">
            <w:pPr>
              <w:pStyle w:val="BodyText1"/>
              <w:jc w:val="right"/>
            </w:pPr>
            <w:r>
              <w:t>Fin Plan/</w:t>
            </w:r>
          </w:p>
        </w:tc>
        <w:tc>
          <w:tcPr>
            <w:tcW w:w="1134" w:type="dxa"/>
          </w:tcPr>
          <w:p w:rsidR="005F7109" w:rsidRDefault="005F7109" w:rsidP="00C55DD1">
            <w:pPr>
              <w:pStyle w:val="BodyText1"/>
              <w:jc w:val="right"/>
            </w:pPr>
            <w:r>
              <w:t>Revised</w:t>
            </w:r>
          </w:p>
        </w:tc>
        <w:tc>
          <w:tcPr>
            <w:tcW w:w="1134" w:type="dxa"/>
          </w:tcPr>
          <w:p w:rsidR="005F7109" w:rsidRDefault="005F7109" w:rsidP="00C55DD1">
            <w:pPr>
              <w:pStyle w:val="BodyText1"/>
              <w:jc w:val="right"/>
            </w:pP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p>
        </w:tc>
        <w:tc>
          <w:tcPr>
            <w:tcW w:w="1276" w:type="dxa"/>
          </w:tcPr>
          <w:p w:rsidR="005F7109" w:rsidRDefault="005F7109" w:rsidP="00C55DD1">
            <w:pPr>
              <w:pStyle w:val="BodyText1"/>
              <w:jc w:val="right"/>
            </w:pPr>
            <w:r>
              <w:t>Budget</w:t>
            </w:r>
          </w:p>
        </w:tc>
        <w:tc>
          <w:tcPr>
            <w:tcW w:w="1134" w:type="dxa"/>
          </w:tcPr>
          <w:p w:rsidR="005F7109" w:rsidRDefault="005F7109" w:rsidP="00C55DD1">
            <w:pPr>
              <w:pStyle w:val="BodyText1"/>
              <w:jc w:val="right"/>
            </w:pPr>
            <w:r>
              <w:t>Budget</w:t>
            </w:r>
          </w:p>
        </w:tc>
        <w:tc>
          <w:tcPr>
            <w:tcW w:w="1134" w:type="dxa"/>
          </w:tcPr>
          <w:p w:rsidR="005F7109" w:rsidRDefault="005F7109" w:rsidP="00C55DD1">
            <w:pPr>
              <w:pStyle w:val="BodyText1"/>
              <w:jc w:val="right"/>
            </w:pPr>
            <w:r>
              <w:t>Change</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p>
        </w:tc>
        <w:tc>
          <w:tcPr>
            <w:tcW w:w="1276" w:type="dxa"/>
          </w:tcPr>
          <w:p w:rsidR="005F7109" w:rsidRDefault="005F7109" w:rsidP="00C55DD1">
            <w:pPr>
              <w:pStyle w:val="BodyText1"/>
              <w:jc w:val="right"/>
            </w:pPr>
            <w:r>
              <w:t>2019/20</w:t>
            </w:r>
          </w:p>
        </w:tc>
        <w:tc>
          <w:tcPr>
            <w:tcW w:w="1134" w:type="dxa"/>
          </w:tcPr>
          <w:p w:rsidR="005F7109" w:rsidRDefault="005F7109" w:rsidP="00C55DD1">
            <w:pPr>
              <w:pStyle w:val="BodyText1"/>
              <w:jc w:val="right"/>
            </w:pPr>
            <w:r>
              <w:t>2019/20</w:t>
            </w:r>
          </w:p>
        </w:tc>
        <w:tc>
          <w:tcPr>
            <w:tcW w:w="1134" w:type="dxa"/>
          </w:tcPr>
          <w:p w:rsidR="005F7109" w:rsidRDefault="005F7109" w:rsidP="00C55DD1">
            <w:pPr>
              <w:pStyle w:val="BodyText1"/>
              <w:jc w:val="right"/>
            </w:pPr>
            <w:r>
              <w:t>2019/20</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p>
        </w:tc>
        <w:tc>
          <w:tcPr>
            <w:tcW w:w="1276" w:type="dxa"/>
          </w:tcPr>
          <w:p w:rsidR="005F7109" w:rsidRDefault="005F7109" w:rsidP="00C55DD1">
            <w:pPr>
              <w:pStyle w:val="BodyText1"/>
              <w:jc w:val="right"/>
            </w:pPr>
            <w:r>
              <w:t>FY</w:t>
            </w:r>
          </w:p>
        </w:tc>
        <w:tc>
          <w:tcPr>
            <w:tcW w:w="1134" w:type="dxa"/>
          </w:tcPr>
          <w:p w:rsidR="005F7109" w:rsidRDefault="005F7109" w:rsidP="00C55DD1">
            <w:pPr>
              <w:pStyle w:val="BodyText1"/>
              <w:jc w:val="right"/>
            </w:pPr>
            <w:r>
              <w:t>FY</w:t>
            </w:r>
          </w:p>
        </w:tc>
        <w:tc>
          <w:tcPr>
            <w:tcW w:w="1134" w:type="dxa"/>
          </w:tcPr>
          <w:p w:rsidR="005F7109" w:rsidRDefault="005F7109" w:rsidP="00C55DD1">
            <w:pPr>
              <w:pStyle w:val="BodyText1"/>
              <w:jc w:val="right"/>
            </w:pPr>
            <w:r>
              <w:t>FY</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r>
              <w:rPr>
                <w:b/>
              </w:rPr>
              <w:t>2. Expenditure</w:t>
            </w:r>
          </w:p>
        </w:tc>
        <w:tc>
          <w:tcPr>
            <w:tcW w:w="1276" w:type="dxa"/>
          </w:tcPr>
          <w:p w:rsidR="005F7109" w:rsidRDefault="005F7109" w:rsidP="00C55DD1">
            <w:pPr>
              <w:pStyle w:val="BodyText1"/>
              <w:jc w:val="right"/>
            </w:pPr>
            <w:r>
              <w:t>£000</w:t>
            </w:r>
          </w:p>
        </w:tc>
        <w:tc>
          <w:tcPr>
            <w:tcW w:w="1134" w:type="dxa"/>
          </w:tcPr>
          <w:p w:rsidR="005F7109" w:rsidRDefault="005F7109" w:rsidP="00C55DD1">
            <w:pPr>
              <w:pStyle w:val="BodyText1"/>
              <w:jc w:val="right"/>
            </w:pPr>
            <w:r>
              <w:t>£000</w:t>
            </w:r>
          </w:p>
        </w:tc>
        <w:tc>
          <w:tcPr>
            <w:tcW w:w="1134" w:type="dxa"/>
          </w:tcPr>
          <w:p w:rsidR="005F7109" w:rsidRDefault="005F7109" w:rsidP="00C55DD1">
            <w:pPr>
              <w:pStyle w:val="BodyText1"/>
              <w:jc w:val="right"/>
            </w:pPr>
            <w:r>
              <w:t>£000</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Comment</w:t>
            </w:r>
          </w:p>
        </w:tc>
      </w:tr>
      <w:tr w:rsidR="005F7109" w:rsidTr="00C55DD1">
        <w:tc>
          <w:tcPr>
            <w:tcW w:w="3686" w:type="dxa"/>
          </w:tcPr>
          <w:p w:rsidR="005F7109" w:rsidRDefault="005F7109" w:rsidP="00C55DD1">
            <w:pPr>
              <w:pStyle w:val="BodyText1"/>
            </w:pPr>
            <w:r>
              <w:t>Salaries</w:t>
            </w:r>
          </w:p>
        </w:tc>
        <w:tc>
          <w:tcPr>
            <w:tcW w:w="1276" w:type="dxa"/>
          </w:tcPr>
          <w:p w:rsidR="005F7109" w:rsidRDefault="005F7109" w:rsidP="00C55DD1">
            <w:pPr>
              <w:pStyle w:val="BodyText1"/>
              <w:jc w:val="right"/>
            </w:pPr>
            <w:r>
              <w:t>14,713</w:t>
            </w:r>
          </w:p>
        </w:tc>
        <w:tc>
          <w:tcPr>
            <w:tcW w:w="1134" w:type="dxa"/>
          </w:tcPr>
          <w:p w:rsidR="005F7109" w:rsidRDefault="005F7109" w:rsidP="00C55DD1">
            <w:pPr>
              <w:pStyle w:val="BodyText1"/>
              <w:jc w:val="right"/>
            </w:pPr>
            <w:r>
              <w:t>14,713</w:t>
            </w:r>
          </w:p>
        </w:tc>
        <w:tc>
          <w:tcPr>
            <w:tcW w:w="1134" w:type="dxa"/>
          </w:tcPr>
          <w:p w:rsidR="005F7109" w:rsidRDefault="005F7109" w:rsidP="00C55DD1">
            <w:pPr>
              <w:pStyle w:val="BodyText1"/>
              <w:jc w:val="right"/>
            </w:pP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r>
              <w:t>Higher vacancy target</w:t>
            </w:r>
          </w:p>
        </w:tc>
        <w:tc>
          <w:tcPr>
            <w:tcW w:w="1276" w:type="dxa"/>
          </w:tcPr>
          <w:p w:rsidR="005F7109" w:rsidRDefault="005F7109" w:rsidP="00C55DD1">
            <w:pPr>
              <w:pStyle w:val="BodyText1"/>
              <w:jc w:val="right"/>
            </w:pPr>
          </w:p>
        </w:tc>
        <w:tc>
          <w:tcPr>
            <w:tcW w:w="1134" w:type="dxa"/>
          </w:tcPr>
          <w:p w:rsidR="005F7109" w:rsidRDefault="005F7109" w:rsidP="00C55DD1">
            <w:pPr>
              <w:pStyle w:val="BodyText1"/>
              <w:jc w:val="right"/>
            </w:pPr>
            <w:r>
              <w:t>(384)</w:t>
            </w:r>
          </w:p>
        </w:tc>
        <w:tc>
          <w:tcPr>
            <w:tcW w:w="1134" w:type="dxa"/>
          </w:tcPr>
          <w:p w:rsidR="005F7109" w:rsidRDefault="005F7109" w:rsidP="00C55DD1">
            <w:pPr>
              <w:pStyle w:val="BodyText1"/>
              <w:jc w:val="right"/>
            </w:pPr>
            <w:r>
              <w:t>(384)</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Original vacancy target of 6.25% increased by 2.5% to 8.75% based on vacancies in 2018/19, and predicted for 2019/20</w:t>
            </w:r>
          </w:p>
        </w:tc>
      </w:tr>
      <w:tr w:rsidR="005F7109" w:rsidTr="00C55DD1">
        <w:tc>
          <w:tcPr>
            <w:tcW w:w="3686" w:type="dxa"/>
          </w:tcPr>
          <w:p w:rsidR="005F7109" w:rsidRDefault="005F7109" w:rsidP="00C55DD1">
            <w:pPr>
              <w:pStyle w:val="BodyText1"/>
            </w:pPr>
            <w:r>
              <w:t>Other changes</w:t>
            </w:r>
          </w:p>
        </w:tc>
        <w:tc>
          <w:tcPr>
            <w:tcW w:w="1276" w:type="dxa"/>
            <w:tcBorders>
              <w:bottom w:val="single" w:sz="4" w:space="0" w:color="auto"/>
            </w:tcBorders>
          </w:tcPr>
          <w:p w:rsidR="005F7109" w:rsidRDefault="005F7109" w:rsidP="00C55DD1">
            <w:pPr>
              <w:pStyle w:val="BodyText1"/>
              <w:jc w:val="right"/>
            </w:pPr>
          </w:p>
        </w:tc>
        <w:tc>
          <w:tcPr>
            <w:tcW w:w="1134" w:type="dxa"/>
            <w:tcBorders>
              <w:bottom w:val="single" w:sz="4" w:space="0" w:color="auto"/>
            </w:tcBorders>
          </w:tcPr>
          <w:p w:rsidR="005F7109" w:rsidRDefault="005F7109" w:rsidP="00C55DD1">
            <w:pPr>
              <w:pStyle w:val="BodyText1"/>
              <w:jc w:val="right"/>
            </w:pPr>
            <w:r>
              <w:t>42</w:t>
            </w:r>
          </w:p>
        </w:tc>
        <w:tc>
          <w:tcPr>
            <w:tcW w:w="1134" w:type="dxa"/>
            <w:tcBorders>
              <w:bottom w:val="single" w:sz="4" w:space="0" w:color="auto"/>
            </w:tcBorders>
          </w:tcPr>
          <w:p w:rsidR="005F7109" w:rsidRDefault="005F7109" w:rsidP="00C55DD1">
            <w:pPr>
              <w:pStyle w:val="BodyText1"/>
              <w:jc w:val="right"/>
            </w:pPr>
            <w:r>
              <w:t>42</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Modern App Levy on total salaries taken as a salary cost</w:t>
            </w:r>
          </w:p>
        </w:tc>
      </w:tr>
      <w:tr w:rsidR="005F7109" w:rsidTr="00C55DD1">
        <w:tc>
          <w:tcPr>
            <w:tcW w:w="3686" w:type="dxa"/>
          </w:tcPr>
          <w:p w:rsidR="005F7109" w:rsidRDefault="005F7109" w:rsidP="00C55DD1">
            <w:pPr>
              <w:pStyle w:val="BodyText1"/>
            </w:pPr>
            <w:r>
              <w:t>Salaries pre savings target</w:t>
            </w:r>
          </w:p>
        </w:tc>
        <w:tc>
          <w:tcPr>
            <w:tcW w:w="1276" w:type="dxa"/>
            <w:tcBorders>
              <w:top w:val="single" w:sz="4" w:space="0" w:color="auto"/>
              <w:bottom w:val="single" w:sz="4" w:space="0" w:color="auto"/>
            </w:tcBorders>
          </w:tcPr>
          <w:p w:rsidR="005F7109" w:rsidRDefault="005F7109" w:rsidP="00C55DD1">
            <w:pPr>
              <w:pStyle w:val="BodyText1"/>
              <w:jc w:val="right"/>
            </w:pPr>
            <w:r>
              <w:t>14,713</w:t>
            </w:r>
          </w:p>
        </w:tc>
        <w:tc>
          <w:tcPr>
            <w:tcW w:w="1134" w:type="dxa"/>
            <w:tcBorders>
              <w:top w:val="single" w:sz="4" w:space="0" w:color="auto"/>
              <w:bottom w:val="single" w:sz="4" w:space="0" w:color="auto"/>
            </w:tcBorders>
          </w:tcPr>
          <w:p w:rsidR="005F7109" w:rsidRPr="00C1014C" w:rsidRDefault="005F7109" w:rsidP="00C55DD1">
            <w:pPr>
              <w:pStyle w:val="BodyText1"/>
              <w:jc w:val="right"/>
            </w:pPr>
            <w:r w:rsidRPr="00C1014C">
              <w:t>14,371</w:t>
            </w:r>
          </w:p>
        </w:tc>
        <w:tc>
          <w:tcPr>
            <w:tcW w:w="1134" w:type="dxa"/>
            <w:tcBorders>
              <w:top w:val="single" w:sz="4" w:space="0" w:color="auto"/>
              <w:bottom w:val="single" w:sz="4" w:space="0" w:color="auto"/>
            </w:tcBorders>
          </w:tcPr>
          <w:p w:rsidR="005F7109" w:rsidRDefault="005F7109" w:rsidP="00C55DD1">
            <w:pPr>
              <w:pStyle w:val="BodyText1"/>
              <w:jc w:val="right"/>
            </w:pPr>
            <w:r>
              <w:t>(342)</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p>
        </w:tc>
      </w:tr>
      <w:tr w:rsidR="005F7109" w:rsidTr="00C55DD1">
        <w:tc>
          <w:tcPr>
            <w:tcW w:w="3686" w:type="dxa"/>
          </w:tcPr>
          <w:p w:rsidR="005F7109" w:rsidRDefault="005F7109" w:rsidP="00C55DD1">
            <w:pPr>
              <w:pStyle w:val="BodyText1"/>
            </w:pPr>
          </w:p>
        </w:tc>
        <w:tc>
          <w:tcPr>
            <w:tcW w:w="1276" w:type="dxa"/>
            <w:tcBorders>
              <w:top w:val="single" w:sz="4" w:space="0" w:color="auto"/>
            </w:tcBorders>
          </w:tcPr>
          <w:p w:rsidR="005F7109" w:rsidRDefault="005F7109" w:rsidP="00C55DD1">
            <w:pPr>
              <w:pStyle w:val="BodyText1"/>
              <w:jc w:val="right"/>
            </w:pPr>
          </w:p>
        </w:tc>
        <w:tc>
          <w:tcPr>
            <w:tcW w:w="1134" w:type="dxa"/>
            <w:tcBorders>
              <w:top w:val="single" w:sz="4" w:space="0" w:color="auto"/>
            </w:tcBorders>
          </w:tcPr>
          <w:p w:rsidR="005F7109" w:rsidRDefault="005F7109" w:rsidP="00C55DD1">
            <w:pPr>
              <w:pStyle w:val="BodyText1"/>
              <w:jc w:val="right"/>
            </w:pPr>
          </w:p>
        </w:tc>
        <w:tc>
          <w:tcPr>
            <w:tcW w:w="1134" w:type="dxa"/>
            <w:tcBorders>
              <w:top w:val="single" w:sz="4" w:space="0" w:color="auto"/>
            </w:tcBorders>
          </w:tcPr>
          <w:p w:rsidR="005F7109" w:rsidRDefault="005F7109" w:rsidP="00C55DD1">
            <w:pPr>
              <w:pStyle w:val="BodyText1"/>
              <w:jc w:val="right"/>
            </w:pPr>
          </w:p>
        </w:tc>
        <w:tc>
          <w:tcPr>
            <w:tcW w:w="283" w:type="dxa"/>
          </w:tcPr>
          <w:p w:rsidR="005F7109" w:rsidRDefault="005F7109" w:rsidP="00C55DD1">
            <w:pPr>
              <w:pStyle w:val="BodyText1"/>
              <w:jc w:val="right"/>
            </w:pPr>
          </w:p>
        </w:tc>
        <w:tc>
          <w:tcPr>
            <w:tcW w:w="6776" w:type="dxa"/>
          </w:tcPr>
          <w:p w:rsidR="005F7109" w:rsidRDefault="005F7109" w:rsidP="00C55DD1">
            <w:pPr>
              <w:pStyle w:val="BodyText1"/>
            </w:pPr>
          </w:p>
        </w:tc>
      </w:tr>
      <w:tr w:rsidR="005F7109" w:rsidTr="00C55DD1">
        <w:tc>
          <w:tcPr>
            <w:tcW w:w="3686" w:type="dxa"/>
          </w:tcPr>
          <w:p w:rsidR="005F7109" w:rsidRDefault="005F7109" w:rsidP="00C55DD1">
            <w:pPr>
              <w:pStyle w:val="BodyText1"/>
            </w:pPr>
            <w:r>
              <w:t>Staff savings target</w:t>
            </w:r>
          </w:p>
        </w:tc>
        <w:tc>
          <w:tcPr>
            <w:tcW w:w="1276" w:type="dxa"/>
          </w:tcPr>
          <w:p w:rsidR="005F7109" w:rsidRDefault="005F7109" w:rsidP="00C55DD1">
            <w:pPr>
              <w:pStyle w:val="BodyText1"/>
              <w:jc w:val="right"/>
            </w:pPr>
            <w:r>
              <w:t>(270)</w:t>
            </w:r>
          </w:p>
        </w:tc>
        <w:tc>
          <w:tcPr>
            <w:tcW w:w="1134" w:type="dxa"/>
          </w:tcPr>
          <w:p w:rsidR="005F7109" w:rsidRDefault="005F7109" w:rsidP="00C55DD1">
            <w:pPr>
              <w:pStyle w:val="BodyText1"/>
              <w:jc w:val="right"/>
            </w:pPr>
            <w:r>
              <w:t>(270)</w:t>
            </w:r>
          </w:p>
        </w:tc>
        <w:tc>
          <w:tcPr>
            <w:tcW w:w="1134" w:type="dxa"/>
          </w:tcPr>
          <w:p w:rsidR="005F7109" w:rsidRDefault="005F7109" w:rsidP="00C55DD1">
            <w:pPr>
              <w:pStyle w:val="BodyText1"/>
              <w:jc w:val="right"/>
            </w:pPr>
            <w:r>
              <w:t>0</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No 1% uplift on base funding (£182k) plus add contribution towards NB £15m target (£75k) and other pay costs of £18k</w:t>
            </w:r>
          </w:p>
        </w:tc>
      </w:tr>
      <w:tr w:rsidR="005F7109" w:rsidTr="00C55DD1">
        <w:tc>
          <w:tcPr>
            <w:tcW w:w="3686" w:type="dxa"/>
          </w:tcPr>
          <w:p w:rsidR="005F7109" w:rsidRDefault="005F7109" w:rsidP="00C55DD1">
            <w:pPr>
              <w:pStyle w:val="BodyText1"/>
            </w:pPr>
            <w:r>
              <w:t>Pay Award shortfall</w:t>
            </w:r>
          </w:p>
        </w:tc>
        <w:tc>
          <w:tcPr>
            <w:tcW w:w="1276" w:type="dxa"/>
          </w:tcPr>
          <w:p w:rsidR="005F7109" w:rsidRDefault="005F7109" w:rsidP="00C55DD1">
            <w:pPr>
              <w:pStyle w:val="BodyText1"/>
              <w:jc w:val="right"/>
            </w:pPr>
            <w:r>
              <w:t>0</w:t>
            </w:r>
          </w:p>
        </w:tc>
        <w:tc>
          <w:tcPr>
            <w:tcW w:w="1134" w:type="dxa"/>
          </w:tcPr>
          <w:p w:rsidR="005F7109" w:rsidRDefault="005F7109" w:rsidP="00C55DD1">
            <w:pPr>
              <w:pStyle w:val="BodyText1"/>
              <w:jc w:val="right"/>
            </w:pPr>
            <w:r>
              <w:t>(37)</w:t>
            </w:r>
          </w:p>
        </w:tc>
        <w:tc>
          <w:tcPr>
            <w:tcW w:w="1134" w:type="dxa"/>
          </w:tcPr>
          <w:p w:rsidR="005F7109" w:rsidRDefault="005F7109" w:rsidP="00C55DD1">
            <w:pPr>
              <w:pStyle w:val="BodyText1"/>
              <w:jc w:val="right"/>
            </w:pPr>
            <w:r>
              <w:t>(37)</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See income changes above</w:t>
            </w:r>
          </w:p>
        </w:tc>
      </w:tr>
      <w:tr w:rsidR="005F7109" w:rsidTr="00C55DD1">
        <w:tc>
          <w:tcPr>
            <w:tcW w:w="3686" w:type="dxa"/>
          </w:tcPr>
          <w:p w:rsidR="005F7109" w:rsidRDefault="005F7109" w:rsidP="00C55DD1">
            <w:pPr>
              <w:pStyle w:val="BodyText1"/>
            </w:pPr>
            <w:r>
              <w:t xml:space="preserve">Employers Pension shortfall </w:t>
            </w:r>
          </w:p>
        </w:tc>
        <w:tc>
          <w:tcPr>
            <w:tcW w:w="1276" w:type="dxa"/>
          </w:tcPr>
          <w:p w:rsidR="005F7109" w:rsidRPr="00547E34" w:rsidRDefault="005F7109" w:rsidP="00C55DD1">
            <w:pPr>
              <w:pStyle w:val="BodyText1"/>
              <w:jc w:val="right"/>
              <w:rPr>
                <w:u w:val="single"/>
              </w:rPr>
            </w:pPr>
            <w:r>
              <w:rPr>
                <w:u w:val="single"/>
              </w:rPr>
              <w:t>0</w:t>
            </w:r>
          </w:p>
        </w:tc>
        <w:tc>
          <w:tcPr>
            <w:tcW w:w="1134" w:type="dxa"/>
          </w:tcPr>
          <w:p w:rsidR="005F7109" w:rsidRPr="00547E34" w:rsidRDefault="005F7109" w:rsidP="00C55DD1">
            <w:pPr>
              <w:pStyle w:val="BodyText1"/>
              <w:jc w:val="right"/>
              <w:rPr>
                <w:u w:val="single"/>
              </w:rPr>
            </w:pPr>
            <w:r w:rsidRPr="00547E34">
              <w:rPr>
                <w:u w:val="single"/>
              </w:rPr>
              <w:t>(84)</w:t>
            </w:r>
          </w:p>
        </w:tc>
        <w:tc>
          <w:tcPr>
            <w:tcW w:w="1134" w:type="dxa"/>
          </w:tcPr>
          <w:p w:rsidR="005F7109" w:rsidRPr="00547E34" w:rsidRDefault="005F7109" w:rsidP="00C55DD1">
            <w:pPr>
              <w:pStyle w:val="BodyText1"/>
              <w:jc w:val="right"/>
              <w:rPr>
                <w:u w:val="single"/>
              </w:rPr>
            </w:pPr>
            <w:r w:rsidRPr="00547E34">
              <w:rPr>
                <w:u w:val="single"/>
              </w:rPr>
              <w:t>(84)</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See income changes above</w:t>
            </w:r>
          </w:p>
        </w:tc>
      </w:tr>
      <w:tr w:rsidR="005F7109" w:rsidTr="00C55DD1">
        <w:tc>
          <w:tcPr>
            <w:tcW w:w="3686" w:type="dxa"/>
          </w:tcPr>
          <w:p w:rsidR="005F7109" w:rsidRPr="00F36513" w:rsidRDefault="005F7109" w:rsidP="00C55DD1">
            <w:pPr>
              <w:pStyle w:val="BodyText1"/>
            </w:pPr>
            <w:r>
              <w:t>Salaries savings – revised target</w:t>
            </w:r>
          </w:p>
        </w:tc>
        <w:tc>
          <w:tcPr>
            <w:tcW w:w="1276" w:type="dxa"/>
            <w:tcBorders>
              <w:bottom w:val="single" w:sz="4" w:space="0" w:color="auto"/>
            </w:tcBorders>
          </w:tcPr>
          <w:p w:rsidR="005F7109" w:rsidRDefault="005F7109" w:rsidP="00C55DD1">
            <w:pPr>
              <w:pStyle w:val="BodyText1"/>
              <w:jc w:val="right"/>
            </w:pPr>
            <w:r>
              <w:t>(270)</w:t>
            </w:r>
          </w:p>
        </w:tc>
        <w:tc>
          <w:tcPr>
            <w:tcW w:w="1134" w:type="dxa"/>
            <w:tcBorders>
              <w:bottom w:val="single" w:sz="4" w:space="0" w:color="auto"/>
            </w:tcBorders>
          </w:tcPr>
          <w:p w:rsidR="005F7109" w:rsidRDefault="005F7109" w:rsidP="00C55DD1">
            <w:pPr>
              <w:pStyle w:val="BodyText1"/>
              <w:jc w:val="right"/>
            </w:pPr>
            <w:r>
              <w:t>(391)</w:t>
            </w:r>
          </w:p>
        </w:tc>
        <w:tc>
          <w:tcPr>
            <w:tcW w:w="1134" w:type="dxa"/>
            <w:tcBorders>
              <w:bottom w:val="single" w:sz="4" w:space="0" w:color="auto"/>
            </w:tcBorders>
          </w:tcPr>
          <w:p w:rsidR="005F7109" w:rsidRDefault="005F7109" w:rsidP="00C55DD1">
            <w:pPr>
              <w:pStyle w:val="BodyText1"/>
              <w:jc w:val="right"/>
            </w:pPr>
            <w:r>
              <w:t>(121)</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Pr="000676EA" w:rsidRDefault="005F7109" w:rsidP="00C55DD1">
            <w:pPr>
              <w:pStyle w:val="BodyText1"/>
              <w:rPr>
                <w:b/>
              </w:rPr>
            </w:pPr>
            <w:r>
              <w:rPr>
                <w:b/>
              </w:rPr>
              <w:t>Salaries post savings target</w:t>
            </w:r>
          </w:p>
        </w:tc>
        <w:tc>
          <w:tcPr>
            <w:tcW w:w="1276" w:type="dxa"/>
            <w:tcBorders>
              <w:top w:val="single" w:sz="4" w:space="0" w:color="auto"/>
              <w:bottom w:val="single" w:sz="4" w:space="0" w:color="auto"/>
            </w:tcBorders>
          </w:tcPr>
          <w:p w:rsidR="005F7109" w:rsidRPr="00C1014C" w:rsidRDefault="005F7109" w:rsidP="00C55DD1">
            <w:pPr>
              <w:pStyle w:val="BodyText1"/>
              <w:jc w:val="right"/>
              <w:rPr>
                <w:b/>
              </w:rPr>
            </w:pPr>
            <w:r w:rsidRPr="00C1014C">
              <w:rPr>
                <w:b/>
              </w:rPr>
              <w:t>14,443</w:t>
            </w:r>
          </w:p>
        </w:tc>
        <w:tc>
          <w:tcPr>
            <w:tcW w:w="1134" w:type="dxa"/>
            <w:tcBorders>
              <w:top w:val="single" w:sz="4" w:space="0" w:color="auto"/>
              <w:bottom w:val="single" w:sz="4" w:space="0" w:color="auto"/>
            </w:tcBorders>
          </w:tcPr>
          <w:p w:rsidR="005F7109" w:rsidRPr="00C1014C" w:rsidRDefault="005F7109" w:rsidP="00C55DD1">
            <w:pPr>
              <w:pStyle w:val="BodyText1"/>
              <w:jc w:val="right"/>
              <w:rPr>
                <w:b/>
              </w:rPr>
            </w:pPr>
            <w:r w:rsidRPr="00C1014C">
              <w:rPr>
                <w:b/>
              </w:rPr>
              <w:t>13,980</w:t>
            </w:r>
          </w:p>
        </w:tc>
        <w:tc>
          <w:tcPr>
            <w:tcW w:w="1134" w:type="dxa"/>
            <w:tcBorders>
              <w:top w:val="single" w:sz="4" w:space="0" w:color="auto"/>
              <w:bottom w:val="single" w:sz="4" w:space="0" w:color="auto"/>
            </w:tcBorders>
          </w:tcPr>
          <w:p w:rsidR="005F7109" w:rsidRPr="00C1014C" w:rsidRDefault="005F7109" w:rsidP="00C55DD1">
            <w:pPr>
              <w:pStyle w:val="BodyText1"/>
              <w:jc w:val="right"/>
              <w:rPr>
                <w:b/>
              </w:rPr>
            </w:pPr>
            <w:r w:rsidRPr="00C1014C">
              <w:rPr>
                <w:b/>
              </w:rPr>
              <w:t>(</w:t>
            </w:r>
            <w:r>
              <w:rPr>
                <w:b/>
              </w:rPr>
              <w:t>463</w:t>
            </w:r>
            <w:r w:rsidRPr="00C1014C">
              <w:rPr>
                <w:b/>
              </w:rPr>
              <w:t>)</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p>
        </w:tc>
        <w:tc>
          <w:tcPr>
            <w:tcW w:w="1276" w:type="dxa"/>
            <w:tcBorders>
              <w:top w:val="single" w:sz="4" w:space="0" w:color="auto"/>
            </w:tcBorders>
          </w:tcPr>
          <w:p w:rsidR="005F7109" w:rsidRDefault="005F7109" w:rsidP="00C55DD1">
            <w:pPr>
              <w:pStyle w:val="BodyText1"/>
              <w:jc w:val="right"/>
            </w:pPr>
          </w:p>
        </w:tc>
        <w:tc>
          <w:tcPr>
            <w:tcW w:w="1134" w:type="dxa"/>
            <w:tcBorders>
              <w:top w:val="single" w:sz="4" w:space="0" w:color="auto"/>
            </w:tcBorders>
          </w:tcPr>
          <w:p w:rsidR="005F7109" w:rsidRDefault="005F7109" w:rsidP="00C55DD1">
            <w:pPr>
              <w:pStyle w:val="BodyText1"/>
              <w:jc w:val="right"/>
            </w:pPr>
          </w:p>
        </w:tc>
        <w:tc>
          <w:tcPr>
            <w:tcW w:w="1134" w:type="dxa"/>
            <w:tcBorders>
              <w:top w:val="single" w:sz="4" w:space="0" w:color="auto"/>
            </w:tcBorders>
          </w:tcPr>
          <w:p w:rsidR="005F7109" w:rsidRDefault="005F7109" w:rsidP="00C55DD1">
            <w:pPr>
              <w:pStyle w:val="BodyText1"/>
              <w:jc w:val="right"/>
            </w:pP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Default="005F7109" w:rsidP="00C55DD1">
            <w:pPr>
              <w:pStyle w:val="BodyText1"/>
            </w:pPr>
            <w:r>
              <w:t>Non-staff costs</w:t>
            </w:r>
          </w:p>
        </w:tc>
        <w:tc>
          <w:tcPr>
            <w:tcW w:w="1276" w:type="dxa"/>
          </w:tcPr>
          <w:p w:rsidR="005F7109" w:rsidRDefault="005F7109" w:rsidP="00C55DD1">
            <w:pPr>
              <w:pStyle w:val="BodyText1"/>
              <w:jc w:val="right"/>
            </w:pPr>
            <w:r>
              <w:t>6,483</w:t>
            </w:r>
          </w:p>
        </w:tc>
        <w:tc>
          <w:tcPr>
            <w:tcW w:w="1134" w:type="dxa"/>
          </w:tcPr>
          <w:p w:rsidR="005F7109" w:rsidRDefault="005F7109" w:rsidP="00C55DD1">
            <w:pPr>
              <w:pStyle w:val="BodyText1"/>
              <w:jc w:val="right"/>
            </w:pPr>
            <w:r>
              <w:t>6,483</w:t>
            </w:r>
          </w:p>
        </w:tc>
        <w:tc>
          <w:tcPr>
            <w:tcW w:w="1134" w:type="dxa"/>
          </w:tcPr>
          <w:p w:rsidR="005F7109" w:rsidRDefault="005F7109" w:rsidP="00C55DD1">
            <w:pPr>
              <w:pStyle w:val="BodyText1"/>
              <w:jc w:val="right"/>
            </w:pPr>
          </w:p>
        </w:tc>
        <w:tc>
          <w:tcPr>
            <w:tcW w:w="283" w:type="dxa"/>
          </w:tcPr>
          <w:p w:rsidR="005F7109" w:rsidRDefault="005F7109" w:rsidP="00C55DD1">
            <w:pPr>
              <w:pStyle w:val="BodyText1"/>
              <w:jc w:val="right"/>
            </w:pPr>
          </w:p>
        </w:tc>
        <w:tc>
          <w:tcPr>
            <w:tcW w:w="6776" w:type="dxa"/>
          </w:tcPr>
          <w:p w:rsidR="005F7109" w:rsidRDefault="005F7109" w:rsidP="00C55DD1">
            <w:pPr>
              <w:pStyle w:val="BodyText1"/>
            </w:pPr>
          </w:p>
        </w:tc>
      </w:tr>
      <w:tr w:rsidR="005F7109" w:rsidTr="00C55DD1">
        <w:tc>
          <w:tcPr>
            <w:tcW w:w="3686" w:type="dxa"/>
          </w:tcPr>
          <w:p w:rsidR="005F7109" w:rsidRDefault="005F7109" w:rsidP="00C55DD1">
            <w:pPr>
              <w:pStyle w:val="BodyText1"/>
            </w:pPr>
            <w:r>
              <w:t>Deferred projects now funded</w:t>
            </w:r>
          </w:p>
        </w:tc>
        <w:tc>
          <w:tcPr>
            <w:tcW w:w="1276" w:type="dxa"/>
          </w:tcPr>
          <w:p w:rsidR="005F7109" w:rsidRDefault="005F7109" w:rsidP="00C55DD1">
            <w:pPr>
              <w:pStyle w:val="BodyText1"/>
              <w:jc w:val="right"/>
            </w:pPr>
          </w:p>
        </w:tc>
        <w:tc>
          <w:tcPr>
            <w:tcW w:w="1134" w:type="dxa"/>
          </w:tcPr>
          <w:p w:rsidR="005F7109" w:rsidRDefault="005F7109" w:rsidP="00C55DD1">
            <w:pPr>
              <w:pStyle w:val="BodyText1"/>
              <w:jc w:val="right"/>
            </w:pPr>
            <w:r>
              <w:t>393</w:t>
            </w:r>
          </w:p>
        </w:tc>
        <w:tc>
          <w:tcPr>
            <w:tcW w:w="1134" w:type="dxa"/>
          </w:tcPr>
          <w:p w:rsidR="005F7109" w:rsidRDefault="005F7109" w:rsidP="00C55DD1">
            <w:pPr>
              <w:pStyle w:val="BodyText1"/>
              <w:jc w:val="right"/>
            </w:pPr>
            <w:r>
              <w:t>393</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Projects deferred at budget setting now funded re vac factor</w:t>
            </w:r>
          </w:p>
        </w:tc>
      </w:tr>
      <w:tr w:rsidR="005F7109" w:rsidTr="00C55DD1">
        <w:tc>
          <w:tcPr>
            <w:tcW w:w="3686" w:type="dxa"/>
          </w:tcPr>
          <w:p w:rsidR="005F7109" w:rsidRDefault="005F7109" w:rsidP="00C55DD1">
            <w:pPr>
              <w:pStyle w:val="BodyText1"/>
            </w:pPr>
            <w:r>
              <w:t>Oher changes</w:t>
            </w:r>
          </w:p>
        </w:tc>
        <w:tc>
          <w:tcPr>
            <w:tcW w:w="1276" w:type="dxa"/>
            <w:tcBorders>
              <w:bottom w:val="single" w:sz="4" w:space="0" w:color="auto"/>
            </w:tcBorders>
          </w:tcPr>
          <w:p w:rsidR="005F7109" w:rsidRDefault="005F7109" w:rsidP="00C55DD1">
            <w:pPr>
              <w:pStyle w:val="BodyText1"/>
              <w:jc w:val="right"/>
            </w:pPr>
          </w:p>
        </w:tc>
        <w:tc>
          <w:tcPr>
            <w:tcW w:w="1134" w:type="dxa"/>
            <w:tcBorders>
              <w:bottom w:val="single" w:sz="4" w:space="0" w:color="auto"/>
            </w:tcBorders>
          </w:tcPr>
          <w:p w:rsidR="005F7109" w:rsidRDefault="005F7109" w:rsidP="00C55DD1">
            <w:pPr>
              <w:pStyle w:val="BodyText1"/>
              <w:jc w:val="right"/>
            </w:pPr>
            <w:r>
              <w:t>(62)</w:t>
            </w:r>
          </w:p>
        </w:tc>
        <w:tc>
          <w:tcPr>
            <w:tcW w:w="1134" w:type="dxa"/>
            <w:tcBorders>
              <w:bottom w:val="single" w:sz="4" w:space="0" w:color="auto"/>
            </w:tcBorders>
          </w:tcPr>
          <w:p w:rsidR="005F7109" w:rsidRDefault="005F7109" w:rsidP="00C55DD1">
            <w:pPr>
              <w:pStyle w:val="BodyText1"/>
              <w:jc w:val="right"/>
            </w:pPr>
            <w:r>
              <w:t>(62)</w:t>
            </w:r>
          </w:p>
        </w:tc>
        <w:tc>
          <w:tcPr>
            <w:tcW w:w="283" w:type="dxa"/>
          </w:tcPr>
          <w:p w:rsidR="005F7109" w:rsidRDefault="005F7109" w:rsidP="00C55DD1">
            <w:pPr>
              <w:pStyle w:val="BodyText1"/>
              <w:jc w:val="right"/>
            </w:pPr>
          </w:p>
        </w:tc>
        <w:tc>
          <w:tcPr>
            <w:tcW w:w="6776" w:type="dxa"/>
          </w:tcPr>
          <w:p w:rsidR="005F7109" w:rsidRDefault="005F7109" w:rsidP="00C55DD1">
            <w:pPr>
              <w:pStyle w:val="BodyText1"/>
            </w:pPr>
            <w:r>
              <w:t>Modern App Levy re-class at £42k to salaries &amp; other changes</w:t>
            </w:r>
          </w:p>
        </w:tc>
      </w:tr>
      <w:tr w:rsidR="005F7109" w:rsidTr="00C55DD1">
        <w:tc>
          <w:tcPr>
            <w:tcW w:w="3686" w:type="dxa"/>
          </w:tcPr>
          <w:p w:rsidR="005F7109" w:rsidRPr="00D6021F" w:rsidRDefault="005F7109" w:rsidP="00C55DD1">
            <w:pPr>
              <w:pStyle w:val="BodyText1"/>
              <w:rPr>
                <w:b/>
              </w:rPr>
            </w:pPr>
            <w:r>
              <w:rPr>
                <w:b/>
              </w:rPr>
              <w:t>Non-staff costs</w:t>
            </w:r>
          </w:p>
        </w:tc>
        <w:tc>
          <w:tcPr>
            <w:tcW w:w="1276" w:type="dxa"/>
            <w:tcBorders>
              <w:top w:val="single" w:sz="4" w:space="0" w:color="auto"/>
              <w:bottom w:val="single" w:sz="4" w:space="0" w:color="auto"/>
            </w:tcBorders>
          </w:tcPr>
          <w:p w:rsidR="005F7109" w:rsidRPr="00D6021F" w:rsidRDefault="005F7109" w:rsidP="00C55DD1">
            <w:pPr>
              <w:pStyle w:val="BodyText1"/>
              <w:jc w:val="right"/>
              <w:rPr>
                <w:b/>
              </w:rPr>
            </w:pPr>
            <w:r>
              <w:rPr>
                <w:b/>
              </w:rPr>
              <w:t>6,483</w:t>
            </w:r>
          </w:p>
        </w:tc>
        <w:tc>
          <w:tcPr>
            <w:tcW w:w="1134" w:type="dxa"/>
            <w:tcBorders>
              <w:top w:val="single" w:sz="4" w:space="0" w:color="auto"/>
              <w:bottom w:val="single" w:sz="4" w:space="0" w:color="auto"/>
            </w:tcBorders>
          </w:tcPr>
          <w:p w:rsidR="005F7109" w:rsidRPr="00D6021F" w:rsidRDefault="005F7109" w:rsidP="00C55DD1">
            <w:pPr>
              <w:pStyle w:val="BodyText1"/>
              <w:jc w:val="right"/>
              <w:rPr>
                <w:b/>
              </w:rPr>
            </w:pPr>
            <w:r>
              <w:rPr>
                <w:b/>
              </w:rPr>
              <w:t>6,814</w:t>
            </w:r>
          </w:p>
        </w:tc>
        <w:tc>
          <w:tcPr>
            <w:tcW w:w="1134" w:type="dxa"/>
            <w:tcBorders>
              <w:top w:val="single" w:sz="4" w:space="0" w:color="auto"/>
              <w:bottom w:val="single" w:sz="4" w:space="0" w:color="auto"/>
            </w:tcBorders>
          </w:tcPr>
          <w:p w:rsidR="005F7109" w:rsidRPr="00D6021F" w:rsidRDefault="005F7109" w:rsidP="00C55DD1">
            <w:pPr>
              <w:pStyle w:val="BodyText1"/>
              <w:jc w:val="right"/>
              <w:rPr>
                <w:b/>
              </w:rPr>
            </w:pPr>
            <w:r>
              <w:rPr>
                <w:b/>
              </w:rPr>
              <w:t>331</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Pr="00D6021F" w:rsidRDefault="005F7109" w:rsidP="00C55DD1">
            <w:pPr>
              <w:pStyle w:val="BodyText1"/>
              <w:rPr>
                <w:b/>
              </w:rPr>
            </w:pPr>
            <w:r>
              <w:rPr>
                <w:b/>
              </w:rPr>
              <w:t>Depreciation</w:t>
            </w:r>
          </w:p>
        </w:tc>
        <w:tc>
          <w:tcPr>
            <w:tcW w:w="1276" w:type="dxa"/>
            <w:tcBorders>
              <w:top w:val="single" w:sz="4" w:space="0" w:color="auto"/>
              <w:bottom w:val="single" w:sz="4" w:space="0" w:color="auto"/>
            </w:tcBorders>
          </w:tcPr>
          <w:p w:rsidR="005F7109" w:rsidRPr="00D6021F" w:rsidRDefault="005F7109" w:rsidP="00C55DD1">
            <w:pPr>
              <w:pStyle w:val="BodyText1"/>
              <w:jc w:val="right"/>
              <w:rPr>
                <w:b/>
              </w:rPr>
            </w:pPr>
            <w:r>
              <w:rPr>
                <w:b/>
              </w:rPr>
              <w:t>245</w:t>
            </w:r>
          </w:p>
        </w:tc>
        <w:tc>
          <w:tcPr>
            <w:tcW w:w="1134" w:type="dxa"/>
            <w:tcBorders>
              <w:top w:val="single" w:sz="4" w:space="0" w:color="auto"/>
              <w:bottom w:val="single" w:sz="4" w:space="0" w:color="auto"/>
            </w:tcBorders>
          </w:tcPr>
          <w:p w:rsidR="005F7109" w:rsidRDefault="005F7109" w:rsidP="00C55DD1">
            <w:pPr>
              <w:pStyle w:val="BodyText1"/>
              <w:jc w:val="right"/>
              <w:rPr>
                <w:b/>
              </w:rPr>
            </w:pPr>
            <w:r>
              <w:rPr>
                <w:b/>
              </w:rPr>
              <w:t>245</w:t>
            </w:r>
          </w:p>
        </w:tc>
        <w:tc>
          <w:tcPr>
            <w:tcW w:w="1134" w:type="dxa"/>
            <w:tcBorders>
              <w:top w:val="single" w:sz="4" w:space="0" w:color="auto"/>
              <w:bottom w:val="single" w:sz="4" w:space="0" w:color="auto"/>
            </w:tcBorders>
          </w:tcPr>
          <w:p w:rsidR="005F7109" w:rsidRPr="00D6021F" w:rsidRDefault="005F7109" w:rsidP="00C55DD1">
            <w:pPr>
              <w:pStyle w:val="BodyText1"/>
              <w:jc w:val="right"/>
              <w:rPr>
                <w:b/>
              </w:rPr>
            </w:pP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r w:rsidR="005F7109" w:rsidTr="00C55DD1">
        <w:tc>
          <w:tcPr>
            <w:tcW w:w="3686" w:type="dxa"/>
          </w:tcPr>
          <w:p w:rsidR="005F7109" w:rsidRPr="00D6021F" w:rsidRDefault="005F7109" w:rsidP="00C55DD1">
            <w:pPr>
              <w:pStyle w:val="BodyText1"/>
              <w:rPr>
                <w:b/>
              </w:rPr>
            </w:pPr>
            <w:r>
              <w:rPr>
                <w:b/>
              </w:rPr>
              <w:t>Total Expenditure</w:t>
            </w:r>
          </w:p>
        </w:tc>
        <w:tc>
          <w:tcPr>
            <w:tcW w:w="1276" w:type="dxa"/>
            <w:tcBorders>
              <w:top w:val="single" w:sz="4" w:space="0" w:color="auto"/>
              <w:bottom w:val="single" w:sz="4" w:space="0" w:color="auto"/>
            </w:tcBorders>
          </w:tcPr>
          <w:p w:rsidR="005F7109" w:rsidRPr="00D6021F" w:rsidRDefault="005F7109" w:rsidP="00C55DD1">
            <w:pPr>
              <w:pStyle w:val="BodyText1"/>
              <w:jc w:val="right"/>
              <w:rPr>
                <w:b/>
              </w:rPr>
            </w:pPr>
            <w:r>
              <w:rPr>
                <w:b/>
              </w:rPr>
              <w:t>21,171</w:t>
            </w:r>
          </w:p>
        </w:tc>
        <w:tc>
          <w:tcPr>
            <w:tcW w:w="1134" w:type="dxa"/>
            <w:tcBorders>
              <w:top w:val="single" w:sz="4" w:space="0" w:color="auto"/>
              <w:bottom w:val="single" w:sz="4" w:space="0" w:color="auto"/>
            </w:tcBorders>
          </w:tcPr>
          <w:p w:rsidR="005F7109" w:rsidRDefault="005F7109" w:rsidP="00C55DD1">
            <w:pPr>
              <w:pStyle w:val="BodyText1"/>
              <w:jc w:val="right"/>
              <w:rPr>
                <w:b/>
              </w:rPr>
            </w:pPr>
            <w:r>
              <w:rPr>
                <w:b/>
              </w:rPr>
              <w:t>21,039</w:t>
            </w:r>
          </w:p>
        </w:tc>
        <w:tc>
          <w:tcPr>
            <w:tcW w:w="1134" w:type="dxa"/>
            <w:tcBorders>
              <w:top w:val="single" w:sz="4" w:space="0" w:color="auto"/>
              <w:bottom w:val="single" w:sz="4" w:space="0" w:color="auto"/>
            </w:tcBorders>
          </w:tcPr>
          <w:p w:rsidR="005F7109" w:rsidRPr="00D6021F" w:rsidRDefault="005F7109" w:rsidP="00C55DD1">
            <w:pPr>
              <w:pStyle w:val="BodyText1"/>
              <w:jc w:val="right"/>
              <w:rPr>
                <w:b/>
              </w:rPr>
            </w:pPr>
            <w:r>
              <w:rPr>
                <w:b/>
              </w:rPr>
              <w:t>(132)</w:t>
            </w:r>
          </w:p>
        </w:tc>
        <w:tc>
          <w:tcPr>
            <w:tcW w:w="283" w:type="dxa"/>
          </w:tcPr>
          <w:p w:rsidR="005F7109" w:rsidRDefault="005F7109" w:rsidP="00C55DD1">
            <w:pPr>
              <w:pStyle w:val="BodyText1"/>
              <w:jc w:val="right"/>
            </w:pPr>
          </w:p>
        </w:tc>
        <w:tc>
          <w:tcPr>
            <w:tcW w:w="6776" w:type="dxa"/>
          </w:tcPr>
          <w:p w:rsidR="005F7109" w:rsidRDefault="005F7109" w:rsidP="00C55DD1">
            <w:pPr>
              <w:pStyle w:val="BodyText1"/>
              <w:jc w:val="right"/>
            </w:pPr>
          </w:p>
        </w:tc>
      </w:tr>
    </w:tbl>
    <w:p w:rsidR="003738D2" w:rsidRDefault="003738D2" w:rsidP="005F7109">
      <w:pPr>
        <w:pStyle w:val="BodyText1"/>
      </w:pPr>
    </w:p>
    <w:sectPr w:rsidR="003738D2" w:rsidSect="005F71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D4" w:rsidRDefault="006B34D4" w:rsidP="00DA333C">
      <w:pPr>
        <w:spacing w:before="0" w:after="0" w:line="240" w:lineRule="auto"/>
      </w:pPr>
      <w:r>
        <w:separator/>
      </w:r>
    </w:p>
  </w:endnote>
  <w:endnote w:type="continuationSeparator" w:id="0">
    <w:p w:rsidR="006B34D4" w:rsidRDefault="006B34D4" w:rsidP="00DA333C">
      <w:pPr>
        <w:spacing w:before="0" w:after="0" w:line="240" w:lineRule="auto"/>
      </w:pPr>
      <w:r>
        <w:continuationSeparator/>
      </w:r>
    </w:p>
  </w:endnote>
  <w:endnote w:type="continuationNotice" w:id="1">
    <w:p w:rsidR="006B34D4" w:rsidRDefault="006B34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Frutiger LT Std 87 ExtraBlk Cn">
    <w:altName w:val="Frutiger LT Std 87 ExtraBlk 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6371"/>
      <w:docPartObj>
        <w:docPartGallery w:val="Page Numbers (Bottom of Page)"/>
        <w:docPartUnique/>
      </w:docPartObj>
    </w:sdtPr>
    <w:sdtEndPr>
      <w:rPr>
        <w:noProof/>
      </w:rPr>
    </w:sdtEndPr>
    <w:sdtContent>
      <w:p w:rsidR="00776A5C" w:rsidRDefault="00776A5C">
        <w:pPr>
          <w:pStyle w:val="Footer"/>
          <w:jc w:val="center"/>
        </w:pPr>
        <w:r>
          <w:fldChar w:fldCharType="begin"/>
        </w:r>
        <w:r>
          <w:instrText xml:space="preserve"> PAGE   \* MERGEFORMAT </w:instrText>
        </w:r>
        <w:r>
          <w:fldChar w:fldCharType="separate"/>
        </w:r>
        <w:r w:rsidR="001D3AF9">
          <w:rPr>
            <w:noProof/>
          </w:rPr>
          <w:t>1</w:t>
        </w:r>
        <w:r>
          <w:rPr>
            <w:noProof/>
          </w:rPr>
          <w:fldChar w:fldCharType="end"/>
        </w:r>
      </w:p>
    </w:sdtContent>
  </w:sdt>
  <w:p w:rsidR="00776A5C" w:rsidRDefault="00776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D4" w:rsidRDefault="006B34D4" w:rsidP="00DA333C">
      <w:pPr>
        <w:spacing w:before="0" w:after="0" w:line="240" w:lineRule="auto"/>
      </w:pPr>
      <w:r>
        <w:separator/>
      </w:r>
    </w:p>
  </w:footnote>
  <w:footnote w:type="continuationSeparator" w:id="0">
    <w:p w:rsidR="006B34D4" w:rsidRDefault="006B34D4" w:rsidP="00DA333C">
      <w:pPr>
        <w:spacing w:before="0" w:after="0" w:line="240" w:lineRule="auto"/>
      </w:pPr>
      <w:r>
        <w:continuationSeparator/>
      </w:r>
    </w:p>
  </w:footnote>
  <w:footnote w:type="continuationNotice" w:id="1">
    <w:p w:rsidR="006B34D4" w:rsidRDefault="006B34D4">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68C"/>
    <w:multiLevelType w:val="hybridMultilevel"/>
    <w:tmpl w:val="C4769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F0590A"/>
    <w:multiLevelType w:val="hybridMultilevel"/>
    <w:tmpl w:val="1DA4A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641FB"/>
    <w:multiLevelType w:val="multilevel"/>
    <w:tmpl w:val="4492129C"/>
    <w:lvl w:ilvl="0">
      <w:start w:val="1"/>
      <w:numFmt w:val="decimal"/>
      <w:pStyle w:val="CMTNumbered2"/>
      <w:lvlText w:val="%1."/>
      <w:lvlJc w:val="left"/>
      <w:pPr>
        <w:tabs>
          <w:tab w:val="num" w:pos="567"/>
        </w:tabs>
        <w:ind w:left="567" w:hanging="567"/>
      </w:pPr>
      <w:rPr>
        <w:rFonts w:ascii="Arial" w:eastAsia="Times New Roman" w:hAnsi="Arial" w:cs="Times New Roman"/>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3332183"/>
    <w:multiLevelType w:val="hybridMultilevel"/>
    <w:tmpl w:val="B19E93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C92C5B"/>
    <w:multiLevelType w:val="hybridMultilevel"/>
    <w:tmpl w:val="B6ECF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83BCD"/>
    <w:multiLevelType w:val="hybridMultilevel"/>
    <w:tmpl w:val="C9264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8E5B34"/>
    <w:multiLevelType w:val="hybridMultilevel"/>
    <w:tmpl w:val="57CE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7B17"/>
    <w:multiLevelType w:val="hybridMultilevel"/>
    <w:tmpl w:val="D94CF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DD1AB0"/>
    <w:multiLevelType w:val="hybridMultilevel"/>
    <w:tmpl w:val="F4003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BB0052"/>
    <w:multiLevelType w:val="hybridMultilevel"/>
    <w:tmpl w:val="F3189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A7A2C"/>
    <w:multiLevelType w:val="hybridMultilevel"/>
    <w:tmpl w:val="9956E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411C3C"/>
    <w:multiLevelType w:val="hybridMultilevel"/>
    <w:tmpl w:val="EFDEDFE6"/>
    <w:lvl w:ilvl="0" w:tplc="04090001">
      <w:start w:val="1"/>
      <w:numFmt w:val="bullet"/>
      <w:lvlText w:val=""/>
      <w:lvlJc w:val="left"/>
      <w:pPr>
        <w:tabs>
          <w:tab w:val="num" w:pos="1233"/>
        </w:tabs>
        <w:ind w:left="1233" w:hanging="360"/>
      </w:pPr>
      <w:rPr>
        <w:rFonts w:ascii="Symbol" w:hAnsi="Symbol" w:hint="default"/>
      </w:rPr>
    </w:lvl>
    <w:lvl w:ilvl="1" w:tplc="FAEE38A6">
      <w:numFmt w:val="bullet"/>
      <w:lvlText w:val="•"/>
      <w:lvlJc w:val="left"/>
      <w:pPr>
        <w:ind w:left="1953" w:hanging="360"/>
      </w:pPr>
      <w:rPr>
        <w:rFonts w:ascii="Arial" w:eastAsia="Calibri" w:hAnsi="Arial" w:cs="Arial" w:hint="default"/>
      </w:r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12" w15:restartNumberingAfterBreak="0">
    <w:nsid w:val="6AA62367"/>
    <w:multiLevelType w:val="hybridMultilevel"/>
    <w:tmpl w:val="71D22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F167334"/>
    <w:multiLevelType w:val="hybridMultilevel"/>
    <w:tmpl w:val="C7DCC120"/>
    <w:lvl w:ilvl="0" w:tplc="260C1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55E1D"/>
    <w:multiLevelType w:val="hybridMultilevel"/>
    <w:tmpl w:val="F87C3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B72138"/>
    <w:multiLevelType w:val="hybridMultilevel"/>
    <w:tmpl w:val="35A0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2C09D9"/>
    <w:multiLevelType w:val="hybridMultilevel"/>
    <w:tmpl w:val="5AC25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12"/>
  </w:num>
  <w:num w:numId="6">
    <w:abstractNumId w:val="6"/>
  </w:num>
  <w:num w:numId="7">
    <w:abstractNumId w:val="7"/>
  </w:num>
  <w:num w:numId="8">
    <w:abstractNumId w:val="0"/>
  </w:num>
  <w:num w:numId="9">
    <w:abstractNumId w:val="2"/>
    <w:lvlOverride w:ilvl="0">
      <w:startOverride w:val="6"/>
    </w:lvlOverride>
  </w:num>
  <w:num w:numId="10">
    <w:abstractNumId w:val="14"/>
  </w:num>
  <w:num w:numId="11">
    <w:abstractNumId w:val="10"/>
  </w:num>
  <w:num w:numId="12">
    <w:abstractNumId w:val="15"/>
  </w:num>
  <w:num w:numId="13">
    <w:abstractNumId w:val="1"/>
  </w:num>
  <w:num w:numId="14">
    <w:abstractNumId w:val="9"/>
  </w:num>
  <w:num w:numId="15">
    <w:abstractNumId w:val="8"/>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F2"/>
    <w:rsid w:val="00002EC7"/>
    <w:rsid w:val="00015B94"/>
    <w:rsid w:val="00016309"/>
    <w:rsid w:val="0003394E"/>
    <w:rsid w:val="00037A8E"/>
    <w:rsid w:val="00037EF1"/>
    <w:rsid w:val="00040AF0"/>
    <w:rsid w:val="00047736"/>
    <w:rsid w:val="0004790B"/>
    <w:rsid w:val="00053856"/>
    <w:rsid w:val="000553C8"/>
    <w:rsid w:val="00062720"/>
    <w:rsid w:val="00090993"/>
    <w:rsid w:val="0009113C"/>
    <w:rsid w:val="000954B7"/>
    <w:rsid w:val="000A103A"/>
    <w:rsid w:val="000B33A9"/>
    <w:rsid w:val="000C2CFF"/>
    <w:rsid w:val="000C3D85"/>
    <w:rsid w:val="000D2837"/>
    <w:rsid w:val="000F2DDD"/>
    <w:rsid w:val="000F2F1C"/>
    <w:rsid w:val="00102CB7"/>
    <w:rsid w:val="001032D8"/>
    <w:rsid w:val="0010797F"/>
    <w:rsid w:val="00121207"/>
    <w:rsid w:val="00122D1D"/>
    <w:rsid w:val="00130052"/>
    <w:rsid w:val="00135E75"/>
    <w:rsid w:val="00137765"/>
    <w:rsid w:val="0014045E"/>
    <w:rsid w:val="00141528"/>
    <w:rsid w:val="00147C5E"/>
    <w:rsid w:val="00153676"/>
    <w:rsid w:val="001636E1"/>
    <w:rsid w:val="001666E6"/>
    <w:rsid w:val="00167112"/>
    <w:rsid w:val="00171264"/>
    <w:rsid w:val="00171853"/>
    <w:rsid w:val="00171C6D"/>
    <w:rsid w:val="00172ECC"/>
    <w:rsid w:val="00173DFA"/>
    <w:rsid w:val="00182026"/>
    <w:rsid w:val="0018426C"/>
    <w:rsid w:val="00186A4C"/>
    <w:rsid w:val="001B2B1B"/>
    <w:rsid w:val="001B4C4C"/>
    <w:rsid w:val="001C5227"/>
    <w:rsid w:val="001D3AF9"/>
    <w:rsid w:val="001D6C4B"/>
    <w:rsid w:val="001E10CB"/>
    <w:rsid w:val="001E2967"/>
    <w:rsid w:val="001E4E5A"/>
    <w:rsid w:val="001E57FA"/>
    <w:rsid w:val="001F1357"/>
    <w:rsid w:val="00203136"/>
    <w:rsid w:val="002076EA"/>
    <w:rsid w:val="00211F47"/>
    <w:rsid w:val="002260FB"/>
    <w:rsid w:val="00231021"/>
    <w:rsid w:val="0026319D"/>
    <w:rsid w:val="00265D9C"/>
    <w:rsid w:val="00267693"/>
    <w:rsid w:val="002744BC"/>
    <w:rsid w:val="002755CE"/>
    <w:rsid w:val="00290E6F"/>
    <w:rsid w:val="002971D8"/>
    <w:rsid w:val="002B33E3"/>
    <w:rsid w:val="002C074A"/>
    <w:rsid w:val="002F0C1C"/>
    <w:rsid w:val="002F6123"/>
    <w:rsid w:val="002F7F78"/>
    <w:rsid w:val="0030308D"/>
    <w:rsid w:val="00306306"/>
    <w:rsid w:val="00311CB0"/>
    <w:rsid w:val="003157D3"/>
    <w:rsid w:val="0031642E"/>
    <w:rsid w:val="00330363"/>
    <w:rsid w:val="00332A64"/>
    <w:rsid w:val="00344EB9"/>
    <w:rsid w:val="00351854"/>
    <w:rsid w:val="00357A03"/>
    <w:rsid w:val="003738D2"/>
    <w:rsid w:val="00374914"/>
    <w:rsid w:val="00386208"/>
    <w:rsid w:val="003955D4"/>
    <w:rsid w:val="003A131D"/>
    <w:rsid w:val="003A2221"/>
    <w:rsid w:val="003A2A76"/>
    <w:rsid w:val="003A3AE9"/>
    <w:rsid w:val="003A5504"/>
    <w:rsid w:val="003B05F1"/>
    <w:rsid w:val="003C2392"/>
    <w:rsid w:val="003C57D6"/>
    <w:rsid w:val="003D4F5A"/>
    <w:rsid w:val="003D5EC9"/>
    <w:rsid w:val="003D6240"/>
    <w:rsid w:val="003E58A1"/>
    <w:rsid w:val="003E5E6B"/>
    <w:rsid w:val="00402BC6"/>
    <w:rsid w:val="0040350B"/>
    <w:rsid w:val="00414211"/>
    <w:rsid w:val="004361F2"/>
    <w:rsid w:val="00437457"/>
    <w:rsid w:val="004376A8"/>
    <w:rsid w:val="004418FF"/>
    <w:rsid w:val="00442E65"/>
    <w:rsid w:val="0044504A"/>
    <w:rsid w:val="004464B6"/>
    <w:rsid w:val="004559DB"/>
    <w:rsid w:val="004627E8"/>
    <w:rsid w:val="004671AD"/>
    <w:rsid w:val="00471D07"/>
    <w:rsid w:val="00476583"/>
    <w:rsid w:val="004848F0"/>
    <w:rsid w:val="00486376"/>
    <w:rsid w:val="00487AAF"/>
    <w:rsid w:val="00494BCC"/>
    <w:rsid w:val="00496E98"/>
    <w:rsid w:val="004970B7"/>
    <w:rsid w:val="004A207D"/>
    <w:rsid w:val="004A316B"/>
    <w:rsid w:val="004B40D1"/>
    <w:rsid w:val="004B4CB8"/>
    <w:rsid w:val="004B5047"/>
    <w:rsid w:val="004B7E1B"/>
    <w:rsid w:val="004C72BE"/>
    <w:rsid w:val="004E4D1B"/>
    <w:rsid w:val="004F1535"/>
    <w:rsid w:val="00500384"/>
    <w:rsid w:val="0050429D"/>
    <w:rsid w:val="005119C5"/>
    <w:rsid w:val="00512A84"/>
    <w:rsid w:val="005217F0"/>
    <w:rsid w:val="00523966"/>
    <w:rsid w:val="005274CB"/>
    <w:rsid w:val="005334E7"/>
    <w:rsid w:val="00533A72"/>
    <w:rsid w:val="00557A0D"/>
    <w:rsid w:val="00560982"/>
    <w:rsid w:val="00563494"/>
    <w:rsid w:val="00564528"/>
    <w:rsid w:val="0056498D"/>
    <w:rsid w:val="00574425"/>
    <w:rsid w:val="00574FE2"/>
    <w:rsid w:val="00585576"/>
    <w:rsid w:val="00585CC1"/>
    <w:rsid w:val="0059242C"/>
    <w:rsid w:val="005945D7"/>
    <w:rsid w:val="0059658D"/>
    <w:rsid w:val="005A44CE"/>
    <w:rsid w:val="005B192E"/>
    <w:rsid w:val="005C0653"/>
    <w:rsid w:val="005C41B9"/>
    <w:rsid w:val="005C710B"/>
    <w:rsid w:val="005D5EC0"/>
    <w:rsid w:val="005F2577"/>
    <w:rsid w:val="005F36C0"/>
    <w:rsid w:val="005F7109"/>
    <w:rsid w:val="005F7846"/>
    <w:rsid w:val="00610D59"/>
    <w:rsid w:val="0061692C"/>
    <w:rsid w:val="00621B61"/>
    <w:rsid w:val="00632198"/>
    <w:rsid w:val="00636DC9"/>
    <w:rsid w:val="00641013"/>
    <w:rsid w:val="00647764"/>
    <w:rsid w:val="00647986"/>
    <w:rsid w:val="00655D53"/>
    <w:rsid w:val="00657050"/>
    <w:rsid w:val="00663A1A"/>
    <w:rsid w:val="00677455"/>
    <w:rsid w:val="00681999"/>
    <w:rsid w:val="00683018"/>
    <w:rsid w:val="006835DB"/>
    <w:rsid w:val="006846DF"/>
    <w:rsid w:val="00692FA5"/>
    <w:rsid w:val="006A3B33"/>
    <w:rsid w:val="006A52FE"/>
    <w:rsid w:val="006A6C6E"/>
    <w:rsid w:val="006B1C65"/>
    <w:rsid w:val="006B34D4"/>
    <w:rsid w:val="006C42D4"/>
    <w:rsid w:val="006C6A66"/>
    <w:rsid w:val="006F0EEB"/>
    <w:rsid w:val="006F2260"/>
    <w:rsid w:val="006F2434"/>
    <w:rsid w:val="006F5BBE"/>
    <w:rsid w:val="00714F32"/>
    <w:rsid w:val="00731076"/>
    <w:rsid w:val="0074062D"/>
    <w:rsid w:val="00742C50"/>
    <w:rsid w:val="00744A4E"/>
    <w:rsid w:val="00756FEE"/>
    <w:rsid w:val="00773C06"/>
    <w:rsid w:val="00773DEC"/>
    <w:rsid w:val="00776A5C"/>
    <w:rsid w:val="00785D8F"/>
    <w:rsid w:val="0078679E"/>
    <w:rsid w:val="00794264"/>
    <w:rsid w:val="007A45A8"/>
    <w:rsid w:val="007B2C45"/>
    <w:rsid w:val="007C006D"/>
    <w:rsid w:val="007D2442"/>
    <w:rsid w:val="007E7C89"/>
    <w:rsid w:val="007F0FD3"/>
    <w:rsid w:val="007F1392"/>
    <w:rsid w:val="007F38F9"/>
    <w:rsid w:val="008015BA"/>
    <w:rsid w:val="008064F3"/>
    <w:rsid w:val="008158F5"/>
    <w:rsid w:val="00824472"/>
    <w:rsid w:val="008246B3"/>
    <w:rsid w:val="00825CF7"/>
    <w:rsid w:val="00835BDB"/>
    <w:rsid w:val="00840656"/>
    <w:rsid w:val="0086296B"/>
    <w:rsid w:val="00862D24"/>
    <w:rsid w:val="0086501D"/>
    <w:rsid w:val="00871936"/>
    <w:rsid w:val="00876C48"/>
    <w:rsid w:val="00877C52"/>
    <w:rsid w:val="00897C75"/>
    <w:rsid w:val="008A04CB"/>
    <w:rsid w:val="008B66F9"/>
    <w:rsid w:val="008B759A"/>
    <w:rsid w:val="008C0ECA"/>
    <w:rsid w:val="008D02CD"/>
    <w:rsid w:val="008E293F"/>
    <w:rsid w:val="008E656A"/>
    <w:rsid w:val="008F5BE7"/>
    <w:rsid w:val="00916DA3"/>
    <w:rsid w:val="00920353"/>
    <w:rsid w:val="009270D0"/>
    <w:rsid w:val="009275EB"/>
    <w:rsid w:val="0093605A"/>
    <w:rsid w:val="00944C7E"/>
    <w:rsid w:val="00951E53"/>
    <w:rsid w:val="00952D9C"/>
    <w:rsid w:val="00971254"/>
    <w:rsid w:val="00974A36"/>
    <w:rsid w:val="009767DA"/>
    <w:rsid w:val="009858E1"/>
    <w:rsid w:val="00986817"/>
    <w:rsid w:val="009932E8"/>
    <w:rsid w:val="0099573A"/>
    <w:rsid w:val="009A04BE"/>
    <w:rsid w:val="009A2C83"/>
    <w:rsid w:val="009A3C98"/>
    <w:rsid w:val="009A48D7"/>
    <w:rsid w:val="009B14BC"/>
    <w:rsid w:val="009C6545"/>
    <w:rsid w:val="009F4D59"/>
    <w:rsid w:val="00A113E3"/>
    <w:rsid w:val="00A12000"/>
    <w:rsid w:val="00A160B5"/>
    <w:rsid w:val="00A17001"/>
    <w:rsid w:val="00A17513"/>
    <w:rsid w:val="00A2653B"/>
    <w:rsid w:val="00A348E4"/>
    <w:rsid w:val="00A4024E"/>
    <w:rsid w:val="00A408D8"/>
    <w:rsid w:val="00A40E05"/>
    <w:rsid w:val="00A54B48"/>
    <w:rsid w:val="00A617F0"/>
    <w:rsid w:val="00A64100"/>
    <w:rsid w:val="00A65A2E"/>
    <w:rsid w:val="00A65DD9"/>
    <w:rsid w:val="00A73E67"/>
    <w:rsid w:val="00A81A1D"/>
    <w:rsid w:val="00A830A9"/>
    <w:rsid w:val="00A87964"/>
    <w:rsid w:val="00A915B3"/>
    <w:rsid w:val="00A93164"/>
    <w:rsid w:val="00A93A1E"/>
    <w:rsid w:val="00AA05A1"/>
    <w:rsid w:val="00AA0C1D"/>
    <w:rsid w:val="00AA0DD9"/>
    <w:rsid w:val="00AA3A4C"/>
    <w:rsid w:val="00AB470C"/>
    <w:rsid w:val="00AC25CB"/>
    <w:rsid w:val="00AC6ED5"/>
    <w:rsid w:val="00AE2CD1"/>
    <w:rsid w:val="00AE30DA"/>
    <w:rsid w:val="00AE69BF"/>
    <w:rsid w:val="00AF0F21"/>
    <w:rsid w:val="00AF68F3"/>
    <w:rsid w:val="00B02F9A"/>
    <w:rsid w:val="00B21046"/>
    <w:rsid w:val="00B24AE8"/>
    <w:rsid w:val="00B270E5"/>
    <w:rsid w:val="00B31FC6"/>
    <w:rsid w:val="00B553AB"/>
    <w:rsid w:val="00B55EC3"/>
    <w:rsid w:val="00B578AD"/>
    <w:rsid w:val="00B6653A"/>
    <w:rsid w:val="00B75779"/>
    <w:rsid w:val="00B82750"/>
    <w:rsid w:val="00B909C8"/>
    <w:rsid w:val="00B9137F"/>
    <w:rsid w:val="00B955A1"/>
    <w:rsid w:val="00BA3C15"/>
    <w:rsid w:val="00BB03CE"/>
    <w:rsid w:val="00BC49D8"/>
    <w:rsid w:val="00BC4E67"/>
    <w:rsid w:val="00BD1513"/>
    <w:rsid w:val="00BD1601"/>
    <w:rsid w:val="00BD39E3"/>
    <w:rsid w:val="00BD6F72"/>
    <w:rsid w:val="00BE6A49"/>
    <w:rsid w:val="00BF0773"/>
    <w:rsid w:val="00BF3DFD"/>
    <w:rsid w:val="00BF45EB"/>
    <w:rsid w:val="00BF5B8C"/>
    <w:rsid w:val="00C02931"/>
    <w:rsid w:val="00C03F19"/>
    <w:rsid w:val="00C130A2"/>
    <w:rsid w:val="00C14062"/>
    <w:rsid w:val="00C24FDF"/>
    <w:rsid w:val="00C318D7"/>
    <w:rsid w:val="00C44966"/>
    <w:rsid w:val="00C55DF3"/>
    <w:rsid w:val="00C56EA9"/>
    <w:rsid w:val="00C62E27"/>
    <w:rsid w:val="00C6465B"/>
    <w:rsid w:val="00C65477"/>
    <w:rsid w:val="00C661B7"/>
    <w:rsid w:val="00C735DC"/>
    <w:rsid w:val="00C746F2"/>
    <w:rsid w:val="00C94D85"/>
    <w:rsid w:val="00CA17DA"/>
    <w:rsid w:val="00CB082A"/>
    <w:rsid w:val="00CC02AE"/>
    <w:rsid w:val="00CC156E"/>
    <w:rsid w:val="00CC1869"/>
    <w:rsid w:val="00CC2F6D"/>
    <w:rsid w:val="00CC71C0"/>
    <w:rsid w:val="00CD40BF"/>
    <w:rsid w:val="00CF2825"/>
    <w:rsid w:val="00CF3A21"/>
    <w:rsid w:val="00CF3C0F"/>
    <w:rsid w:val="00D03A9E"/>
    <w:rsid w:val="00D1328F"/>
    <w:rsid w:val="00D45FB5"/>
    <w:rsid w:val="00D604C0"/>
    <w:rsid w:val="00D62725"/>
    <w:rsid w:val="00D73035"/>
    <w:rsid w:val="00D759DA"/>
    <w:rsid w:val="00D7772E"/>
    <w:rsid w:val="00D77F3B"/>
    <w:rsid w:val="00D801F0"/>
    <w:rsid w:val="00DA333C"/>
    <w:rsid w:val="00DA497E"/>
    <w:rsid w:val="00DA4E5D"/>
    <w:rsid w:val="00DB03BC"/>
    <w:rsid w:val="00DC13DD"/>
    <w:rsid w:val="00DD0097"/>
    <w:rsid w:val="00DD7AE5"/>
    <w:rsid w:val="00DE4249"/>
    <w:rsid w:val="00DF5A3F"/>
    <w:rsid w:val="00E04B83"/>
    <w:rsid w:val="00E059D4"/>
    <w:rsid w:val="00E16571"/>
    <w:rsid w:val="00E33CC5"/>
    <w:rsid w:val="00E34D41"/>
    <w:rsid w:val="00E34FAF"/>
    <w:rsid w:val="00E366CA"/>
    <w:rsid w:val="00E42EC9"/>
    <w:rsid w:val="00E44543"/>
    <w:rsid w:val="00E46717"/>
    <w:rsid w:val="00E60259"/>
    <w:rsid w:val="00E7132E"/>
    <w:rsid w:val="00E72EA7"/>
    <w:rsid w:val="00E809AA"/>
    <w:rsid w:val="00E85453"/>
    <w:rsid w:val="00E916CB"/>
    <w:rsid w:val="00E91D38"/>
    <w:rsid w:val="00E9206D"/>
    <w:rsid w:val="00E9777D"/>
    <w:rsid w:val="00EA43E4"/>
    <w:rsid w:val="00EA546F"/>
    <w:rsid w:val="00EB2862"/>
    <w:rsid w:val="00EB3A06"/>
    <w:rsid w:val="00ED17EB"/>
    <w:rsid w:val="00ED6275"/>
    <w:rsid w:val="00ED7687"/>
    <w:rsid w:val="00EE6676"/>
    <w:rsid w:val="00EF1032"/>
    <w:rsid w:val="00EF13E6"/>
    <w:rsid w:val="00EF6381"/>
    <w:rsid w:val="00F04010"/>
    <w:rsid w:val="00F051E2"/>
    <w:rsid w:val="00F14975"/>
    <w:rsid w:val="00F149B8"/>
    <w:rsid w:val="00F15C01"/>
    <w:rsid w:val="00F20F49"/>
    <w:rsid w:val="00F21B53"/>
    <w:rsid w:val="00F32E94"/>
    <w:rsid w:val="00F37305"/>
    <w:rsid w:val="00F40641"/>
    <w:rsid w:val="00F63A0C"/>
    <w:rsid w:val="00F80CD2"/>
    <w:rsid w:val="00F816AC"/>
    <w:rsid w:val="00F85E39"/>
    <w:rsid w:val="00F86F0D"/>
    <w:rsid w:val="00FA5DE6"/>
    <w:rsid w:val="00FC23E9"/>
    <w:rsid w:val="00FC7594"/>
    <w:rsid w:val="00FD229F"/>
    <w:rsid w:val="00FD541D"/>
    <w:rsid w:val="00FD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DC7C-53F3-4F18-BABA-4C829FB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F2"/>
    <w:pPr>
      <w:spacing w:before="120" w:after="120" w:line="257" w:lineRule="auto"/>
    </w:pPr>
    <w:rPr>
      <w:rFonts w:ascii="Arial" w:eastAsia="Calibri" w:hAnsi="Arial" w:cs="Arial"/>
      <w:sz w:val="24"/>
      <w:szCs w:val="24"/>
      <w:lang w:eastAsia="en-GB"/>
    </w:rPr>
  </w:style>
  <w:style w:type="paragraph" w:styleId="Heading1">
    <w:name w:val="heading 1"/>
    <w:basedOn w:val="Normal"/>
    <w:next w:val="Normal"/>
    <w:link w:val="Heading1Char"/>
    <w:uiPriority w:val="9"/>
    <w:qFormat/>
    <w:rsid w:val="00436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3A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link w:val="AheadChar"/>
    <w:qFormat/>
    <w:rsid w:val="004361F2"/>
    <w:pPr>
      <w:spacing w:before="0" w:line="360" w:lineRule="auto"/>
      <w:outlineLvl w:val="0"/>
    </w:pPr>
    <w:rPr>
      <w:rFonts w:eastAsiaTheme="minorHAnsi"/>
      <w:b/>
      <w:sz w:val="40"/>
    </w:rPr>
  </w:style>
  <w:style w:type="character" w:customStyle="1" w:styleId="AheadChar">
    <w:name w:val="A head Char"/>
    <w:basedOn w:val="DefaultParagraphFont"/>
    <w:link w:val="Ahead"/>
    <w:rsid w:val="004361F2"/>
    <w:rPr>
      <w:rFonts w:ascii="Arial" w:hAnsi="Arial" w:cs="Arial"/>
      <w:b/>
      <w:sz w:val="40"/>
      <w:szCs w:val="24"/>
      <w:lang w:eastAsia="en-GB"/>
    </w:rPr>
  </w:style>
  <w:style w:type="paragraph" w:customStyle="1" w:styleId="Bhead">
    <w:name w:val="B head"/>
    <w:basedOn w:val="Ahead"/>
    <w:next w:val="Normal"/>
    <w:link w:val="BheadChar"/>
    <w:qFormat/>
    <w:rsid w:val="004361F2"/>
    <w:pPr>
      <w:spacing w:before="120"/>
      <w:outlineLvl w:val="1"/>
    </w:pPr>
    <w:rPr>
      <w:rFonts w:eastAsia="Cambria"/>
      <w:color w:val="000000" w:themeColor="text1"/>
      <w:sz w:val="32"/>
    </w:rPr>
  </w:style>
  <w:style w:type="character" w:customStyle="1" w:styleId="BheadChar">
    <w:name w:val="B head Char"/>
    <w:basedOn w:val="DefaultParagraphFont"/>
    <w:link w:val="Bhead"/>
    <w:rsid w:val="004361F2"/>
    <w:rPr>
      <w:rFonts w:ascii="Arial" w:eastAsia="Cambria" w:hAnsi="Arial" w:cs="Arial"/>
      <w:b/>
      <w:color w:val="000000" w:themeColor="text1"/>
      <w:sz w:val="32"/>
      <w:szCs w:val="24"/>
      <w:lang w:eastAsia="en-GB"/>
    </w:rPr>
  </w:style>
  <w:style w:type="paragraph" w:customStyle="1" w:styleId="Chead">
    <w:name w:val="C head"/>
    <w:basedOn w:val="Bhead"/>
    <w:next w:val="Normal"/>
    <w:link w:val="CheadChar"/>
    <w:qFormat/>
    <w:rsid w:val="004361F2"/>
    <w:pPr>
      <w:spacing w:before="240"/>
      <w:outlineLvl w:val="9"/>
    </w:pPr>
    <w:rPr>
      <w:sz w:val="28"/>
    </w:rPr>
  </w:style>
  <w:style w:type="character" w:customStyle="1" w:styleId="CheadChar">
    <w:name w:val="C head Char"/>
    <w:basedOn w:val="DefaultParagraphFont"/>
    <w:link w:val="Chead"/>
    <w:rsid w:val="004361F2"/>
    <w:rPr>
      <w:rFonts w:ascii="Arial" w:eastAsia="Cambria" w:hAnsi="Arial" w:cs="Arial"/>
      <w:b/>
      <w:color w:val="000000" w:themeColor="text1"/>
      <w:sz w:val="28"/>
      <w:szCs w:val="24"/>
      <w:lang w:eastAsia="en-GB"/>
    </w:rPr>
  </w:style>
  <w:style w:type="paragraph" w:customStyle="1" w:styleId="Dhead">
    <w:name w:val="D head"/>
    <w:basedOn w:val="Chead"/>
    <w:next w:val="Normal"/>
    <w:link w:val="DheadChar"/>
    <w:qFormat/>
    <w:rsid w:val="004361F2"/>
    <w:rPr>
      <w:rFonts w:cs="Times New Roman"/>
      <w:sz w:val="24"/>
    </w:rPr>
  </w:style>
  <w:style w:type="character" w:customStyle="1" w:styleId="DheadChar">
    <w:name w:val="D head Char"/>
    <w:basedOn w:val="DefaultParagraphFont"/>
    <w:link w:val="Dhead"/>
    <w:rsid w:val="004361F2"/>
    <w:rPr>
      <w:rFonts w:ascii="Arial" w:eastAsia="Cambria" w:hAnsi="Arial" w:cs="Times New Roman"/>
      <w:b/>
      <w:color w:val="000000" w:themeColor="text1"/>
      <w:sz w:val="24"/>
      <w:szCs w:val="24"/>
      <w:lang w:eastAsia="en-GB"/>
    </w:rPr>
  </w:style>
  <w:style w:type="character" w:styleId="Hyperlink">
    <w:name w:val="Hyperlink"/>
    <w:basedOn w:val="DefaultParagraphFont"/>
    <w:uiPriority w:val="99"/>
    <w:unhideWhenUsed/>
    <w:rsid w:val="004361F2"/>
    <w:rPr>
      <w:rFonts w:ascii="Arial" w:hAnsi="Arial" w:cs="Arial"/>
      <w:noProof/>
      <w:color w:val="0563C1" w:themeColor="hyperlink"/>
    </w:rPr>
  </w:style>
  <w:style w:type="character" w:customStyle="1" w:styleId="Heading1Char">
    <w:name w:val="Heading 1 Char"/>
    <w:basedOn w:val="DefaultParagraphFont"/>
    <w:link w:val="Heading1"/>
    <w:uiPriority w:val="9"/>
    <w:rsid w:val="004361F2"/>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4361F2"/>
    <w:pPr>
      <w:spacing w:line="259" w:lineRule="auto"/>
      <w:outlineLvl w:val="9"/>
    </w:pPr>
    <w:rPr>
      <w:rFonts w:ascii="Arial" w:hAnsi="Arial"/>
      <w:b/>
      <w:color w:val="auto"/>
      <w:sz w:val="28"/>
      <w:lang w:val="en-US" w:eastAsia="en-US"/>
    </w:rPr>
  </w:style>
  <w:style w:type="paragraph" w:styleId="TOC1">
    <w:name w:val="toc 1"/>
    <w:basedOn w:val="Normal"/>
    <w:next w:val="Normal"/>
    <w:autoRedefine/>
    <w:uiPriority w:val="39"/>
    <w:unhideWhenUsed/>
    <w:rsid w:val="004361F2"/>
    <w:pPr>
      <w:spacing w:after="100"/>
    </w:pPr>
  </w:style>
  <w:style w:type="paragraph" w:styleId="TOC2">
    <w:name w:val="toc 2"/>
    <w:basedOn w:val="Normal"/>
    <w:next w:val="Normal"/>
    <w:autoRedefine/>
    <w:uiPriority w:val="39"/>
    <w:unhideWhenUsed/>
    <w:rsid w:val="004361F2"/>
    <w:pPr>
      <w:tabs>
        <w:tab w:val="right" w:leader="dot" w:pos="8296"/>
      </w:tabs>
      <w:spacing w:before="0" w:after="100" w:line="259" w:lineRule="auto"/>
      <w:ind w:left="220"/>
    </w:pPr>
    <w:rPr>
      <w:rFonts w:eastAsiaTheme="minorEastAsia"/>
      <w:noProof/>
      <w:sz w:val="22"/>
      <w:szCs w:val="22"/>
    </w:rPr>
  </w:style>
  <w:style w:type="paragraph" w:styleId="ListParagraph">
    <w:name w:val="List Paragraph"/>
    <w:aliases w:val="Sub - List Bullet Point"/>
    <w:basedOn w:val="Normal"/>
    <w:uiPriority w:val="34"/>
    <w:qFormat/>
    <w:rsid w:val="00414211"/>
    <w:pPr>
      <w:ind w:left="720"/>
      <w:contextualSpacing/>
    </w:pPr>
  </w:style>
  <w:style w:type="paragraph" w:customStyle="1" w:styleId="BodyText1">
    <w:name w:val="Body Text1"/>
    <w:qFormat/>
    <w:rsid w:val="00641013"/>
    <w:pPr>
      <w:autoSpaceDE w:val="0"/>
      <w:autoSpaceDN w:val="0"/>
      <w:adjustRightInd w:val="0"/>
      <w:spacing w:after="0" w:line="240" w:lineRule="auto"/>
    </w:pPr>
    <w:rPr>
      <w:rFonts w:ascii="Arial" w:hAnsi="Arial" w:cs="Arial"/>
      <w:sz w:val="24"/>
      <w:szCs w:val="24"/>
      <w:lang w:eastAsia="en-GB"/>
    </w:rPr>
  </w:style>
  <w:style w:type="paragraph" w:styleId="NormalWeb">
    <w:name w:val="Normal (Web)"/>
    <w:basedOn w:val="Normal"/>
    <w:uiPriority w:val="99"/>
    <w:unhideWhenUsed/>
    <w:rsid w:val="00641013"/>
    <w:pPr>
      <w:spacing w:before="0" w:after="0" w:line="240" w:lineRule="auto"/>
    </w:pPr>
    <w:rPr>
      <w:rFonts w:ascii="Times New Roman" w:eastAsiaTheme="minorHAnsi" w:hAnsi="Times New Roman" w:cs="Times New Roman"/>
    </w:rPr>
  </w:style>
  <w:style w:type="paragraph" w:customStyle="1" w:styleId="Default">
    <w:name w:val="Default"/>
    <w:rsid w:val="00C6465B"/>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692FA5"/>
    <w:pPr>
      <w:spacing w:after="0" w:line="240" w:lineRule="auto"/>
    </w:pPr>
    <w:rPr>
      <w:rFonts w:ascii="Arial" w:eastAsia="Calibri" w:hAnsi="Arial" w:cs="Arial"/>
      <w:sz w:val="24"/>
      <w:szCs w:val="24"/>
      <w:lang w:eastAsia="en-GB"/>
    </w:rPr>
  </w:style>
  <w:style w:type="paragraph" w:customStyle="1" w:styleId="CMTNumbered2">
    <w:name w:val="CMT Numbered 2"/>
    <w:basedOn w:val="Normal"/>
    <w:rsid w:val="00692FA5"/>
    <w:pPr>
      <w:numPr>
        <w:numId w:val="1"/>
      </w:numPr>
      <w:spacing w:before="0" w:after="240" w:line="240" w:lineRule="auto"/>
      <w:jc w:val="both"/>
    </w:pPr>
    <w:rPr>
      <w:rFonts w:eastAsia="Times New Roman" w:cs="Times New Roman"/>
      <w:sz w:val="22"/>
      <w:szCs w:val="20"/>
      <w:lang w:eastAsia="en-US"/>
    </w:rPr>
  </w:style>
  <w:style w:type="table" w:styleId="TableGrid">
    <w:name w:val="Table Grid"/>
    <w:basedOn w:val="TableNormal"/>
    <w:rsid w:val="009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4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55"/>
    <w:rPr>
      <w:rFonts w:ascii="Segoe UI" w:eastAsia="Calibri" w:hAnsi="Segoe UI" w:cs="Segoe UI"/>
      <w:sz w:val="18"/>
      <w:szCs w:val="18"/>
      <w:lang w:eastAsia="en-GB"/>
    </w:rPr>
  </w:style>
  <w:style w:type="character" w:styleId="CommentReference">
    <w:name w:val="annotation reference"/>
    <w:basedOn w:val="DefaultParagraphFont"/>
    <w:semiHidden/>
    <w:unhideWhenUsed/>
    <w:rsid w:val="00677455"/>
    <w:rPr>
      <w:sz w:val="16"/>
      <w:szCs w:val="16"/>
    </w:rPr>
  </w:style>
  <w:style w:type="paragraph" w:styleId="CommentText">
    <w:name w:val="annotation text"/>
    <w:basedOn w:val="Normal"/>
    <w:link w:val="CommentTextChar"/>
    <w:semiHidden/>
    <w:unhideWhenUsed/>
    <w:rsid w:val="00677455"/>
    <w:pPr>
      <w:spacing w:line="240" w:lineRule="auto"/>
    </w:pPr>
    <w:rPr>
      <w:sz w:val="20"/>
      <w:szCs w:val="20"/>
    </w:rPr>
  </w:style>
  <w:style w:type="character" w:customStyle="1" w:styleId="CommentTextChar">
    <w:name w:val="Comment Text Char"/>
    <w:basedOn w:val="DefaultParagraphFont"/>
    <w:link w:val="CommentText"/>
    <w:semiHidden/>
    <w:rsid w:val="00677455"/>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77455"/>
    <w:rPr>
      <w:b/>
      <w:bCs/>
    </w:rPr>
  </w:style>
  <w:style w:type="character" w:customStyle="1" w:styleId="CommentSubjectChar">
    <w:name w:val="Comment Subject Char"/>
    <w:basedOn w:val="CommentTextChar"/>
    <w:link w:val="CommentSubject"/>
    <w:uiPriority w:val="99"/>
    <w:semiHidden/>
    <w:rsid w:val="00677455"/>
    <w:rPr>
      <w:rFonts w:ascii="Arial" w:eastAsia="Calibri" w:hAnsi="Arial" w:cs="Arial"/>
      <w:b/>
      <w:bCs/>
      <w:sz w:val="20"/>
      <w:szCs w:val="20"/>
      <w:lang w:eastAsia="en-GB"/>
    </w:rPr>
  </w:style>
  <w:style w:type="character" w:styleId="FollowedHyperlink">
    <w:name w:val="FollowedHyperlink"/>
    <w:basedOn w:val="DefaultParagraphFont"/>
    <w:uiPriority w:val="99"/>
    <w:semiHidden/>
    <w:unhideWhenUsed/>
    <w:rsid w:val="003C57D6"/>
    <w:rPr>
      <w:color w:val="954F72" w:themeColor="followedHyperlink"/>
      <w:u w:val="single"/>
    </w:rPr>
  </w:style>
  <w:style w:type="character" w:customStyle="1" w:styleId="A13">
    <w:name w:val="A13"/>
    <w:uiPriority w:val="99"/>
    <w:rsid w:val="00952D9C"/>
    <w:rPr>
      <w:rFonts w:cs="Frutiger LT Std 47 Light Cn"/>
      <w:b/>
      <w:bCs/>
      <w:color w:val="000000"/>
      <w:sz w:val="26"/>
      <w:szCs w:val="26"/>
    </w:rPr>
  </w:style>
  <w:style w:type="character" w:customStyle="1" w:styleId="A4">
    <w:name w:val="A4"/>
    <w:uiPriority w:val="99"/>
    <w:rsid w:val="00062720"/>
    <w:rPr>
      <w:rFonts w:cs="Frutiger LT Std 87 ExtraBlk Cn"/>
      <w:b/>
      <w:bCs/>
      <w:color w:val="000000"/>
      <w:sz w:val="56"/>
      <w:szCs w:val="56"/>
    </w:rPr>
  </w:style>
  <w:style w:type="character" w:customStyle="1" w:styleId="A8">
    <w:name w:val="A8"/>
    <w:uiPriority w:val="99"/>
    <w:rsid w:val="00016309"/>
    <w:rPr>
      <w:rFonts w:ascii="Frutiger LT Std 47 Light Cn" w:hAnsi="Frutiger LT Std 47 Light Cn" w:cs="Frutiger LT Std 47 Light Cn"/>
      <w:b/>
      <w:bCs/>
      <w:color w:val="000000"/>
      <w:sz w:val="36"/>
      <w:szCs w:val="36"/>
    </w:rPr>
  </w:style>
  <w:style w:type="paragraph" w:styleId="Header">
    <w:name w:val="header"/>
    <w:basedOn w:val="Normal"/>
    <w:link w:val="HeaderChar"/>
    <w:uiPriority w:val="99"/>
    <w:unhideWhenUsed/>
    <w:rsid w:val="00DA33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333C"/>
    <w:rPr>
      <w:rFonts w:ascii="Arial" w:eastAsia="Calibri" w:hAnsi="Arial" w:cs="Arial"/>
      <w:sz w:val="24"/>
      <w:szCs w:val="24"/>
      <w:lang w:eastAsia="en-GB"/>
    </w:rPr>
  </w:style>
  <w:style w:type="paragraph" w:styleId="Footer">
    <w:name w:val="footer"/>
    <w:basedOn w:val="Normal"/>
    <w:link w:val="FooterChar"/>
    <w:uiPriority w:val="99"/>
    <w:unhideWhenUsed/>
    <w:rsid w:val="00DA33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333C"/>
    <w:rPr>
      <w:rFonts w:ascii="Arial" w:eastAsia="Calibri" w:hAnsi="Arial" w:cs="Arial"/>
      <w:sz w:val="24"/>
      <w:szCs w:val="24"/>
      <w:lang w:eastAsia="en-GB"/>
    </w:rPr>
  </w:style>
  <w:style w:type="paragraph" w:customStyle="1" w:styleId="CMTsubheading">
    <w:name w:val="CMT sub heading"/>
    <w:basedOn w:val="Normal"/>
    <w:next w:val="Normal"/>
    <w:rsid w:val="004B7E1B"/>
    <w:pPr>
      <w:spacing w:before="0" w:after="240" w:line="240" w:lineRule="auto"/>
    </w:pPr>
    <w:rPr>
      <w:rFonts w:eastAsia="Times New Roman" w:cs="Times New Roman"/>
      <w:b/>
      <w:bCs/>
      <w:sz w:val="22"/>
      <w:szCs w:val="20"/>
      <w:lang w:eastAsia="en-US"/>
    </w:rPr>
  </w:style>
  <w:style w:type="paragraph" w:customStyle="1" w:styleId="Captiontext">
    <w:name w:val="Caption text"/>
    <w:basedOn w:val="BodyText1"/>
    <w:next w:val="BodyText1"/>
    <w:link w:val="CaptiontextChar"/>
    <w:qFormat/>
    <w:rsid w:val="00C735DC"/>
    <w:rPr>
      <w:rFonts w:ascii="Arial Narrow" w:eastAsia="Cambria" w:hAnsi="Arial Narrow" w:cs="Times New Roman"/>
      <w:sz w:val="28"/>
    </w:rPr>
  </w:style>
  <w:style w:type="character" w:customStyle="1" w:styleId="CaptiontextChar">
    <w:name w:val="Caption text Char"/>
    <w:basedOn w:val="DefaultParagraphFont"/>
    <w:link w:val="Captiontext"/>
    <w:rsid w:val="00C735DC"/>
    <w:rPr>
      <w:rFonts w:ascii="Arial Narrow" w:eastAsia="Cambria" w:hAnsi="Arial Narrow" w:cs="Times New Roman"/>
      <w:sz w:val="28"/>
      <w:szCs w:val="24"/>
      <w:lang w:eastAsia="en-GB"/>
    </w:rPr>
  </w:style>
  <w:style w:type="character" w:customStyle="1" w:styleId="Heading2Char">
    <w:name w:val="Heading 2 Char"/>
    <w:basedOn w:val="DefaultParagraphFont"/>
    <w:link w:val="Heading2"/>
    <w:uiPriority w:val="9"/>
    <w:rsid w:val="001D3AF9"/>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183">
      <w:bodyDiv w:val="1"/>
      <w:marLeft w:val="0"/>
      <w:marRight w:val="0"/>
      <w:marTop w:val="0"/>
      <w:marBottom w:val="0"/>
      <w:divBdr>
        <w:top w:val="none" w:sz="0" w:space="0" w:color="auto"/>
        <w:left w:val="none" w:sz="0" w:space="0" w:color="auto"/>
        <w:bottom w:val="none" w:sz="0" w:space="0" w:color="auto"/>
        <w:right w:val="none" w:sz="0" w:space="0" w:color="auto"/>
      </w:divBdr>
    </w:div>
    <w:div w:id="77481769">
      <w:bodyDiv w:val="1"/>
      <w:marLeft w:val="0"/>
      <w:marRight w:val="0"/>
      <w:marTop w:val="0"/>
      <w:marBottom w:val="0"/>
      <w:divBdr>
        <w:top w:val="none" w:sz="0" w:space="0" w:color="auto"/>
        <w:left w:val="none" w:sz="0" w:space="0" w:color="auto"/>
        <w:bottom w:val="none" w:sz="0" w:space="0" w:color="auto"/>
        <w:right w:val="none" w:sz="0" w:space="0" w:color="auto"/>
      </w:divBdr>
    </w:div>
    <w:div w:id="242835299">
      <w:bodyDiv w:val="1"/>
      <w:marLeft w:val="0"/>
      <w:marRight w:val="0"/>
      <w:marTop w:val="0"/>
      <w:marBottom w:val="0"/>
      <w:divBdr>
        <w:top w:val="none" w:sz="0" w:space="0" w:color="auto"/>
        <w:left w:val="none" w:sz="0" w:space="0" w:color="auto"/>
        <w:bottom w:val="none" w:sz="0" w:space="0" w:color="auto"/>
        <w:right w:val="none" w:sz="0" w:space="0" w:color="auto"/>
      </w:divBdr>
    </w:div>
    <w:div w:id="332413732">
      <w:bodyDiv w:val="1"/>
      <w:marLeft w:val="0"/>
      <w:marRight w:val="0"/>
      <w:marTop w:val="0"/>
      <w:marBottom w:val="0"/>
      <w:divBdr>
        <w:top w:val="none" w:sz="0" w:space="0" w:color="auto"/>
        <w:left w:val="none" w:sz="0" w:space="0" w:color="auto"/>
        <w:bottom w:val="none" w:sz="0" w:space="0" w:color="auto"/>
        <w:right w:val="none" w:sz="0" w:space="0" w:color="auto"/>
      </w:divBdr>
    </w:div>
    <w:div w:id="485632657">
      <w:bodyDiv w:val="1"/>
      <w:marLeft w:val="0"/>
      <w:marRight w:val="0"/>
      <w:marTop w:val="0"/>
      <w:marBottom w:val="0"/>
      <w:divBdr>
        <w:top w:val="none" w:sz="0" w:space="0" w:color="auto"/>
        <w:left w:val="none" w:sz="0" w:space="0" w:color="auto"/>
        <w:bottom w:val="none" w:sz="0" w:space="0" w:color="auto"/>
        <w:right w:val="none" w:sz="0" w:space="0" w:color="auto"/>
      </w:divBdr>
    </w:div>
    <w:div w:id="490605087">
      <w:bodyDiv w:val="1"/>
      <w:marLeft w:val="0"/>
      <w:marRight w:val="0"/>
      <w:marTop w:val="0"/>
      <w:marBottom w:val="0"/>
      <w:divBdr>
        <w:top w:val="none" w:sz="0" w:space="0" w:color="auto"/>
        <w:left w:val="none" w:sz="0" w:space="0" w:color="auto"/>
        <w:bottom w:val="none" w:sz="0" w:space="0" w:color="auto"/>
        <w:right w:val="none" w:sz="0" w:space="0" w:color="auto"/>
      </w:divBdr>
    </w:div>
    <w:div w:id="517354143">
      <w:bodyDiv w:val="1"/>
      <w:marLeft w:val="0"/>
      <w:marRight w:val="0"/>
      <w:marTop w:val="0"/>
      <w:marBottom w:val="0"/>
      <w:divBdr>
        <w:top w:val="none" w:sz="0" w:space="0" w:color="auto"/>
        <w:left w:val="none" w:sz="0" w:space="0" w:color="auto"/>
        <w:bottom w:val="none" w:sz="0" w:space="0" w:color="auto"/>
        <w:right w:val="none" w:sz="0" w:space="0" w:color="auto"/>
      </w:divBdr>
    </w:div>
    <w:div w:id="557791001">
      <w:bodyDiv w:val="1"/>
      <w:marLeft w:val="0"/>
      <w:marRight w:val="0"/>
      <w:marTop w:val="0"/>
      <w:marBottom w:val="0"/>
      <w:divBdr>
        <w:top w:val="none" w:sz="0" w:space="0" w:color="auto"/>
        <w:left w:val="none" w:sz="0" w:space="0" w:color="auto"/>
        <w:bottom w:val="none" w:sz="0" w:space="0" w:color="auto"/>
        <w:right w:val="none" w:sz="0" w:space="0" w:color="auto"/>
      </w:divBdr>
    </w:div>
    <w:div w:id="654574024">
      <w:bodyDiv w:val="1"/>
      <w:marLeft w:val="0"/>
      <w:marRight w:val="0"/>
      <w:marTop w:val="0"/>
      <w:marBottom w:val="0"/>
      <w:divBdr>
        <w:top w:val="none" w:sz="0" w:space="0" w:color="auto"/>
        <w:left w:val="none" w:sz="0" w:space="0" w:color="auto"/>
        <w:bottom w:val="none" w:sz="0" w:space="0" w:color="auto"/>
        <w:right w:val="none" w:sz="0" w:space="0" w:color="auto"/>
      </w:divBdr>
    </w:div>
    <w:div w:id="692804718">
      <w:bodyDiv w:val="1"/>
      <w:marLeft w:val="0"/>
      <w:marRight w:val="0"/>
      <w:marTop w:val="0"/>
      <w:marBottom w:val="0"/>
      <w:divBdr>
        <w:top w:val="none" w:sz="0" w:space="0" w:color="auto"/>
        <w:left w:val="none" w:sz="0" w:space="0" w:color="auto"/>
        <w:bottom w:val="none" w:sz="0" w:space="0" w:color="auto"/>
        <w:right w:val="none" w:sz="0" w:space="0" w:color="auto"/>
      </w:divBdr>
    </w:div>
    <w:div w:id="762531086">
      <w:bodyDiv w:val="1"/>
      <w:marLeft w:val="0"/>
      <w:marRight w:val="0"/>
      <w:marTop w:val="0"/>
      <w:marBottom w:val="0"/>
      <w:divBdr>
        <w:top w:val="none" w:sz="0" w:space="0" w:color="auto"/>
        <w:left w:val="none" w:sz="0" w:space="0" w:color="auto"/>
        <w:bottom w:val="none" w:sz="0" w:space="0" w:color="auto"/>
        <w:right w:val="none" w:sz="0" w:space="0" w:color="auto"/>
      </w:divBdr>
    </w:div>
    <w:div w:id="841434493">
      <w:bodyDiv w:val="1"/>
      <w:marLeft w:val="0"/>
      <w:marRight w:val="0"/>
      <w:marTop w:val="0"/>
      <w:marBottom w:val="0"/>
      <w:divBdr>
        <w:top w:val="none" w:sz="0" w:space="0" w:color="auto"/>
        <w:left w:val="none" w:sz="0" w:space="0" w:color="auto"/>
        <w:bottom w:val="none" w:sz="0" w:space="0" w:color="auto"/>
        <w:right w:val="none" w:sz="0" w:space="0" w:color="auto"/>
      </w:divBdr>
    </w:div>
    <w:div w:id="887760658">
      <w:bodyDiv w:val="1"/>
      <w:marLeft w:val="0"/>
      <w:marRight w:val="0"/>
      <w:marTop w:val="0"/>
      <w:marBottom w:val="0"/>
      <w:divBdr>
        <w:top w:val="none" w:sz="0" w:space="0" w:color="auto"/>
        <w:left w:val="none" w:sz="0" w:space="0" w:color="auto"/>
        <w:bottom w:val="none" w:sz="0" w:space="0" w:color="auto"/>
        <w:right w:val="none" w:sz="0" w:space="0" w:color="auto"/>
      </w:divBdr>
    </w:div>
    <w:div w:id="904221286">
      <w:bodyDiv w:val="1"/>
      <w:marLeft w:val="0"/>
      <w:marRight w:val="0"/>
      <w:marTop w:val="0"/>
      <w:marBottom w:val="0"/>
      <w:divBdr>
        <w:top w:val="none" w:sz="0" w:space="0" w:color="auto"/>
        <w:left w:val="none" w:sz="0" w:space="0" w:color="auto"/>
        <w:bottom w:val="none" w:sz="0" w:space="0" w:color="auto"/>
        <w:right w:val="none" w:sz="0" w:space="0" w:color="auto"/>
      </w:divBdr>
    </w:div>
    <w:div w:id="1040520392">
      <w:bodyDiv w:val="1"/>
      <w:marLeft w:val="0"/>
      <w:marRight w:val="0"/>
      <w:marTop w:val="0"/>
      <w:marBottom w:val="0"/>
      <w:divBdr>
        <w:top w:val="none" w:sz="0" w:space="0" w:color="auto"/>
        <w:left w:val="none" w:sz="0" w:space="0" w:color="auto"/>
        <w:bottom w:val="none" w:sz="0" w:space="0" w:color="auto"/>
        <w:right w:val="none" w:sz="0" w:space="0" w:color="auto"/>
      </w:divBdr>
    </w:div>
    <w:div w:id="1134173550">
      <w:bodyDiv w:val="1"/>
      <w:marLeft w:val="0"/>
      <w:marRight w:val="0"/>
      <w:marTop w:val="0"/>
      <w:marBottom w:val="0"/>
      <w:divBdr>
        <w:top w:val="none" w:sz="0" w:space="0" w:color="auto"/>
        <w:left w:val="none" w:sz="0" w:space="0" w:color="auto"/>
        <w:bottom w:val="none" w:sz="0" w:space="0" w:color="auto"/>
        <w:right w:val="none" w:sz="0" w:space="0" w:color="auto"/>
      </w:divBdr>
    </w:div>
    <w:div w:id="1184704145">
      <w:bodyDiv w:val="1"/>
      <w:marLeft w:val="0"/>
      <w:marRight w:val="0"/>
      <w:marTop w:val="0"/>
      <w:marBottom w:val="0"/>
      <w:divBdr>
        <w:top w:val="none" w:sz="0" w:space="0" w:color="auto"/>
        <w:left w:val="none" w:sz="0" w:space="0" w:color="auto"/>
        <w:bottom w:val="none" w:sz="0" w:space="0" w:color="auto"/>
        <w:right w:val="none" w:sz="0" w:space="0" w:color="auto"/>
      </w:divBdr>
    </w:div>
    <w:div w:id="1189295820">
      <w:bodyDiv w:val="1"/>
      <w:marLeft w:val="0"/>
      <w:marRight w:val="0"/>
      <w:marTop w:val="0"/>
      <w:marBottom w:val="0"/>
      <w:divBdr>
        <w:top w:val="none" w:sz="0" w:space="0" w:color="auto"/>
        <w:left w:val="none" w:sz="0" w:space="0" w:color="auto"/>
        <w:bottom w:val="none" w:sz="0" w:space="0" w:color="auto"/>
        <w:right w:val="none" w:sz="0" w:space="0" w:color="auto"/>
      </w:divBdr>
    </w:div>
    <w:div w:id="1323391441">
      <w:bodyDiv w:val="1"/>
      <w:marLeft w:val="0"/>
      <w:marRight w:val="0"/>
      <w:marTop w:val="0"/>
      <w:marBottom w:val="0"/>
      <w:divBdr>
        <w:top w:val="none" w:sz="0" w:space="0" w:color="auto"/>
        <w:left w:val="none" w:sz="0" w:space="0" w:color="auto"/>
        <w:bottom w:val="none" w:sz="0" w:space="0" w:color="auto"/>
        <w:right w:val="none" w:sz="0" w:space="0" w:color="auto"/>
      </w:divBdr>
    </w:div>
    <w:div w:id="1387339778">
      <w:bodyDiv w:val="1"/>
      <w:marLeft w:val="0"/>
      <w:marRight w:val="0"/>
      <w:marTop w:val="0"/>
      <w:marBottom w:val="0"/>
      <w:divBdr>
        <w:top w:val="none" w:sz="0" w:space="0" w:color="auto"/>
        <w:left w:val="none" w:sz="0" w:space="0" w:color="auto"/>
        <w:bottom w:val="none" w:sz="0" w:space="0" w:color="auto"/>
        <w:right w:val="none" w:sz="0" w:space="0" w:color="auto"/>
      </w:divBdr>
    </w:div>
    <w:div w:id="1392652934">
      <w:bodyDiv w:val="1"/>
      <w:marLeft w:val="0"/>
      <w:marRight w:val="0"/>
      <w:marTop w:val="0"/>
      <w:marBottom w:val="0"/>
      <w:divBdr>
        <w:top w:val="none" w:sz="0" w:space="0" w:color="auto"/>
        <w:left w:val="none" w:sz="0" w:space="0" w:color="auto"/>
        <w:bottom w:val="none" w:sz="0" w:space="0" w:color="auto"/>
        <w:right w:val="none" w:sz="0" w:space="0" w:color="auto"/>
      </w:divBdr>
    </w:div>
    <w:div w:id="1409571156">
      <w:bodyDiv w:val="1"/>
      <w:marLeft w:val="0"/>
      <w:marRight w:val="0"/>
      <w:marTop w:val="0"/>
      <w:marBottom w:val="0"/>
      <w:divBdr>
        <w:top w:val="none" w:sz="0" w:space="0" w:color="auto"/>
        <w:left w:val="none" w:sz="0" w:space="0" w:color="auto"/>
        <w:bottom w:val="none" w:sz="0" w:space="0" w:color="auto"/>
        <w:right w:val="none" w:sz="0" w:space="0" w:color="auto"/>
      </w:divBdr>
    </w:div>
    <w:div w:id="1456019291">
      <w:bodyDiv w:val="1"/>
      <w:marLeft w:val="0"/>
      <w:marRight w:val="0"/>
      <w:marTop w:val="0"/>
      <w:marBottom w:val="0"/>
      <w:divBdr>
        <w:top w:val="none" w:sz="0" w:space="0" w:color="auto"/>
        <w:left w:val="none" w:sz="0" w:space="0" w:color="auto"/>
        <w:bottom w:val="none" w:sz="0" w:space="0" w:color="auto"/>
        <w:right w:val="none" w:sz="0" w:space="0" w:color="auto"/>
      </w:divBdr>
    </w:div>
    <w:div w:id="1512641306">
      <w:bodyDiv w:val="1"/>
      <w:marLeft w:val="0"/>
      <w:marRight w:val="0"/>
      <w:marTop w:val="0"/>
      <w:marBottom w:val="0"/>
      <w:divBdr>
        <w:top w:val="none" w:sz="0" w:space="0" w:color="auto"/>
        <w:left w:val="none" w:sz="0" w:space="0" w:color="auto"/>
        <w:bottom w:val="none" w:sz="0" w:space="0" w:color="auto"/>
        <w:right w:val="none" w:sz="0" w:space="0" w:color="auto"/>
      </w:divBdr>
    </w:div>
    <w:div w:id="1517420646">
      <w:bodyDiv w:val="1"/>
      <w:marLeft w:val="0"/>
      <w:marRight w:val="0"/>
      <w:marTop w:val="0"/>
      <w:marBottom w:val="0"/>
      <w:divBdr>
        <w:top w:val="none" w:sz="0" w:space="0" w:color="auto"/>
        <w:left w:val="none" w:sz="0" w:space="0" w:color="auto"/>
        <w:bottom w:val="none" w:sz="0" w:space="0" w:color="auto"/>
        <w:right w:val="none" w:sz="0" w:space="0" w:color="auto"/>
      </w:divBdr>
    </w:div>
    <w:div w:id="1578635068">
      <w:bodyDiv w:val="1"/>
      <w:marLeft w:val="0"/>
      <w:marRight w:val="0"/>
      <w:marTop w:val="0"/>
      <w:marBottom w:val="0"/>
      <w:divBdr>
        <w:top w:val="none" w:sz="0" w:space="0" w:color="auto"/>
        <w:left w:val="none" w:sz="0" w:space="0" w:color="auto"/>
        <w:bottom w:val="none" w:sz="0" w:space="0" w:color="auto"/>
        <w:right w:val="none" w:sz="0" w:space="0" w:color="auto"/>
      </w:divBdr>
    </w:div>
    <w:div w:id="1630432545">
      <w:bodyDiv w:val="1"/>
      <w:marLeft w:val="0"/>
      <w:marRight w:val="0"/>
      <w:marTop w:val="0"/>
      <w:marBottom w:val="0"/>
      <w:divBdr>
        <w:top w:val="none" w:sz="0" w:space="0" w:color="auto"/>
        <w:left w:val="none" w:sz="0" w:space="0" w:color="auto"/>
        <w:bottom w:val="none" w:sz="0" w:space="0" w:color="auto"/>
        <w:right w:val="none" w:sz="0" w:space="0" w:color="auto"/>
      </w:divBdr>
    </w:div>
    <w:div w:id="1721007760">
      <w:bodyDiv w:val="1"/>
      <w:marLeft w:val="0"/>
      <w:marRight w:val="0"/>
      <w:marTop w:val="0"/>
      <w:marBottom w:val="0"/>
      <w:divBdr>
        <w:top w:val="none" w:sz="0" w:space="0" w:color="auto"/>
        <w:left w:val="none" w:sz="0" w:space="0" w:color="auto"/>
        <w:bottom w:val="none" w:sz="0" w:space="0" w:color="auto"/>
        <w:right w:val="none" w:sz="0" w:space="0" w:color="auto"/>
      </w:divBdr>
    </w:div>
    <w:div w:id="1832984509">
      <w:bodyDiv w:val="1"/>
      <w:marLeft w:val="0"/>
      <w:marRight w:val="0"/>
      <w:marTop w:val="0"/>
      <w:marBottom w:val="0"/>
      <w:divBdr>
        <w:top w:val="none" w:sz="0" w:space="0" w:color="auto"/>
        <w:left w:val="none" w:sz="0" w:space="0" w:color="auto"/>
        <w:bottom w:val="none" w:sz="0" w:space="0" w:color="auto"/>
        <w:right w:val="none" w:sz="0" w:space="0" w:color="auto"/>
      </w:divBdr>
    </w:div>
    <w:div w:id="1934631301">
      <w:bodyDiv w:val="1"/>
      <w:marLeft w:val="0"/>
      <w:marRight w:val="0"/>
      <w:marTop w:val="0"/>
      <w:marBottom w:val="0"/>
      <w:divBdr>
        <w:top w:val="none" w:sz="0" w:space="0" w:color="auto"/>
        <w:left w:val="none" w:sz="0" w:space="0" w:color="auto"/>
        <w:bottom w:val="none" w:sz="0" w:space="0" w:color="auto"/>
        <w:right w:val="none" w:sz="0" w:space="0" w:color="auto"/>
      </w:divBdr>
    </w:div>
    <w:div w:id="19932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7.xml"/><Relationship Id="rId21" Type="http://schemas.openxmlformats.org/officeDocument/2006/relationships/chart" Target="charts/chart4.xml"/><Relationship Id="rId34" Type="http://schemas.openxmlformats.org/officeDocument/2006/relationships/hyperlink" Target="https://elearning.healthscotland.com/" TargetMode="External"/><Relationship Id="rId42" Type="http://schemas.openxmlformats.org/officeDocument/2006/relationships/chart" Target="charts/chart17.xml"/><Relationship Id="rId47" Type="http://schemas.openxmlformats.org/officeDocument/2006/relationships/chart" Target="charts/chart21.xml"/><Relationship Id="rId50" Type="http://schemas.openxmlformats.org/officeDocument/2006/relationships/chart" Target="charts/chart24.xml"/><Relationship Id="rId55" Type="http://schemas.openxmlformats.org/officeDocument/2006/relationships/chart" Target="charts/chart28.xml"/><Relationship Id="rId63" Type="http://schemas.openxmlformats.org/officeDocument/2006/relationships/chart" Target="charts/chart3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ealthscotland.scot/news/2019/april/action-to-address-poor-and-unequal-health-in-scotland" TargetMode="External"/><Relationship Id="rId29" Type="http://schemas.openxmlformats.org/officeDocument/2006/relationships/hyperlink" Target="http://www.healthscotland.scot/health-inequalities/fundamental-causes/power-inequality" TargetMode="External"/><Relationship Id="rId11" Type="http://schemas.openxmlformats.org/officeDocument/2006/relationships/image" Target="media/image1.png"/><Relationship Id="rId24" Type="http://schemas.openxmlformats.org/officeDocument/2006/relationships/chart" Target="charts/chart5.xml"/><Relationship Id="rId32" Type="http://schemas.openxmlformats.org/officeDocument/2006/relationships/chart" Target="charts/chart11.xml"/><Relationship Id="rId37" Type="http://schemas.openxmlformats.org/officeDocument/2006/relationships/chart" Target="charts/chart15.xml"/><Relationship Id="rId40" Type="http://schemas.openxmlformats.org/officeDocument/2006/relationships/hyperlink" Target="https://elearning.healthscotland.com/enrol/index.php?id=561" TargetMode="External"/><Relationship Id="rId45" Type="http://schemas.openxmlformats.org/officeDocument/2006/relationships/chart" Target="charts/chart20.xml"/><Relationship Id="rId53" Type="http://schemas.openxmlformats.org/officeDocument/2006/relationships/chart" Target="charts/chart26.xml"/><Relationship Id="rId58" Type="http://schemas.openxmlformats.org/officeDocument/2006/relationships/chart" Target="charts/chart31.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hart" Target="charts/chart34.xml"/><Relationship Id="rId19" Type="http://schemas.openxmlformats.org/officeDocument/2006/relationships/chart" Target="charts/chart2.xml"/><Relationship Id="rId14" Type="http://schemas.openxmlformats.org/officeDocument/2006/relationships/hyperlink" Target="https://osf.io/preprints/socarxiv/q8rme/" TargetMode="External"/><Relationship Id="rId22" Type="http://schemas.openxmlformats.org/officeDocument/2006/relationships/hyperlink" Target="https://www.conference2019.inebria.org/home/" TargetMode="External"/><Relationship Id="rId27" Type="http://schemas.openxmlformats.org/officeDocument/2006/relationships/chart" Target="charts/chart8.xml"/><Relationship Id="rId30" Type="http://schemas.openxmlformats.org/officeDocument/2006/relationships/chart" Target="charts/chart9.xml"/><Relationship Id="rId35" Type="http://schemas.openxmlformats.org/officeDocument/2006/relationships/chart" Target="charts/chart13.xml"/><Relationship Id="rId43" Type="http://schemas.openxmlformats.org/officeDocument/2006/relationships/chart" Target="charts/chart18.xml"/><Relationship Id="rId48" Type="http://schemas.openxmlformats.org/officeDocument/2006/relationships/chart" Target="charts/chart22.xml"/><Relationship Id="rId56" Type="http://schemas.openxmlformats.org/officeDocument/2006/relationships/chart" Target="charts/chart29.xml"/><Relationship Id="rId64" Type="http://schemas.openxmlformats.org/officeDocument/2006/relationships/chart" Target="charts/chart37.xml"/><Relationship Id="rId8" Type="http://schemas.openxmlformats.org/officeDocument/2006/relationships/webSettings" Target="webSettings.xml"/><Relationship Id="rId51" Type="http://schemas.openxmlformats.org/officeDocument/2006/relationships/hyperlink" Target="http://www.healthscotland.scot/news/2019/june/mesas-monitoring-report-2019-published" TargetMode="External"/><Relationship Id="rId3" Type="http://schemas.openxmlformats.org/officeDocument/2006/relationships/customXml" Target="../customXml/item3.xml"/><Relationship Id="rId12" Type="http://schemas.openxmlformats.org/officeDocument/2006/relationships/hyperlink" Target="mailto:nhs.healthscotland-ceo@nhs.net" TargetMode="External"/><Relationship Id="rId17" Type="http://schemas.openxmlformats.org/officeDocument/2006/relationships/hyperlink" Target="http://www.healthscotland.scot/news/2019/may/new-mental-health-and-suicide-prevention-resources-launched" TargetMode="Externa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chart" Target="charts/chart16.xml"/><Relationship Id="rId46" Type="http://schemas.openxmlformats.org/officeDocument/2006/relationships/hyperlink" Target="http://www.healthscotland.scot/our-organisation/our-context-public-health-in-scotland/public-health-overview" TargetMode="External"/><Relationship Id="rId59" Type="http://schemas.openxmlformats.org/officeDocument/2006/relationships/chart" Target="charts/chart32.xml"/><Relationship Id="rId20" Type="http://schemas.openxmlformats.org/officeDocument/2006/relationships/chart" Target="charts/chart3.xml"/><Relationship Id="rId41" Type="http://schemas.openxmlformats.org/officeDocument/2006/relationships/hyperlink" Target="https://assets.publishing.service.gov.uk/government/uploads/system/uploads/attachment_data/file/730598/UK_NSC_screening_information_development_guidance.pdf" TargetMode="External"/><Relationship Id="rId54" Type="http://schemas.openxmlformats.org/officeDocument/2006/relationships/chart" Target="charts/chart27.xml"/><Relationship Id="rId62" Type="http://schemas.openxmlformats.org/officeDocument/2006/relationships/chart" Target="charts/chart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ealthscotland.scot/news/2019/may/impact-of-in-premise-marketing-on-consumer-purchasing-and-consumption-of-food" TargetMode="External"/><Relationship Id="rId23" Type="http://schemas.openxmlformats.org/officeDocument/2006/relationships/hyperlink" Target="https://www.gov.scot/publications/child-chance-tackling-child-poverty-delivery-plan-2018-22/" TargetMode="External"/><Relationship Id="rId28" Type="http://schemas.openxmlformats.org/officeDocument/2006/relationships/hyperlink" Target="https://www.gov.scot/policies/social-security/scottish-child-payment/" TargetMode="External"/><Relationship Id="rId36" Type="http://schemas.openxmlformats.org/officeDocument/2006/relationships/chart" Target="charts/chart14.xml"/><Relationship Id="rId49" Type="http://schemas.openxmlformats.org/officeDocument/2006/relationships/chart" Target="charts/chart23.xml"/><Relationship Id="rId57" Type="http://schemas.openxmlformats.org/officeDocument/2006/relationships/chart" Target="charts/chart30.xml"/><Relationship Id="rId10" Type="http://schemas.openxmlformats.org/officeDocument/2006/relationships/endnotes" Target="endnotes.xml"/><Relationship Id="rId31" Type="http://schemas.openxmlformats.org/officeDocument/2006/relationships/chart" Target="charts/chart10.xml"/><Relationship Id="rId44" Type="http://schemas.openxmlformats.org/officeDocument/2006/relationships/chart" Target="charts/chart19.xml"/><Relationship Id="rId52" Type="http://schemas.openxmlformats.org/officeDocument/2006/relationships/chart" Target="charts/chart25.xml"/><Relationship Id="rId60" Type="http://schemas.openxmlformats.org/officeDocument/2006/relationships/chart" Target="charts/chart3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1.xml"/><Relationship Id="rId39" Type="http://schemas.openxmlformats.org/officeDocument/2006/relationships/hyperlink" Target="http://www.declarationfest.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http://thesource.healthscotland.com/collaboration/teams/OrganisationalPerformance/Shared%20Documents/Performance%20Report%202016-17/Workforce%20PI%20Data.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http://thesource.healthscotland.com/collaboration/teams/OrganisationalPerformance/Shared%20Documents/Performance%20Report%202016-17/Workforce%20PI%20Data.xlsx" TargetMode="External"/><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thesource.healthscotland.com/collaboration/teams/strategy/scom/stratdev/Quarterly%20Reports/19-20%20Q1%20Finances%20by%20S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Staff%20Time%200807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mysites.healthscotland.com/my/sites/robertr/Documents/Org%20Improve%20and%20Planning/Quarterly%20Reports/2019-20/Q1%20Output%20Progress%200807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080719.xlsx]SP1 Chart!PivotTable7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'SP1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'SP1 Chart'!$A$4:$A$18</c:f>
              <c:strCache>
                <c:ptCount val="14"/>
                <c:pt idx="0">
                  <c:v>Budget management issues</c:v>
                </c:pt>
                <c:pt idx="1">
                  <c:v>Competing priorities reducing staffing capacity</c:v>
                </c:pt>
                <c:pt idx="2">
                  <c:v>Completed</c:v>
                </c:pt>
                <c:pt idx="3">
                  <c:v>Deferred</c:v>
                </c:pt>
                <c:pt idx="4">
                  <c:v>Dropped</c:v>
                </c:pt>
                <c:pt idx="5">
                  <c:v>External suppliers not delivering</c:v>
                </c:pt>
                <c:pt idx="6">
                  <c:v>Funders changing priorities</c:v>
                </c:pt>
                <c:pt idx="7">
                  <c:v>Health Scotland support team staff capacity</c:v>
                </c:pt>
                <c:pt idx="8">
                  <c:v>Issues with stakeholder engagement</c:v>
                </c:pt>
                <c:pt idx="9">
                  <c:v>No Issues</c:v>
                </c:pt>
                <c:pt idx="10">
                  <c:v>Non-reporting</c:v>
                </c:pt>
                <c:pt idx="11">
                  <c:v>Unanticipated technical problem(s)</c:v>
                </c:pt>
                <c:pt idx="12">
                  <c:v>Vacancy reducing staffing capacity</c:v>
                </c:pt>
                <c:pt idx="13">
                  <c:v>Work not started yet</c:v>
                </c:pt>
              </c:strCache>
            </c:strRef>
          </c:cat>
          <c:val>
            <c:numRef>
              <c:f>'SP1 Chart'!$B$4:$B$18</c:f>
              <c:numCache>
                <c:formatCode>General</c:formatCode>
                <c:ptCount val="14"/>
                <c:pt idx="0">
                  <c:v>2</c:v>
                </c:pt>
                <c:pt idx="1">
                  <c:v>3</c:v>
                </c:pt>
                <c:pt idx="2">
                  <c:v>4</c:v>
                </c:pt>
                <c:pt idx="3">
                  <c:v>1</c:v>
                </c:pt>
                <c:pt idx="4">
                  <c:v>1</c:v>
                </c:pt>
                <c:pt idx="5">
                  <c:v>2</c:v>
                </c:pt>
                <c:pt idx="6">
                  <c:v>1</c:v>
                </c:pt>
                <c:pt idx="7">
                  <c:v>1</c:v>
                </c:pt>
                <c:pt idx="8">
                  <c:v>7</c:v>
                </c:pt>
                <c:pt idx="9">
                  <c:v>142</c:v>
                </c:pt>
                <c:pt idx="10">
                  <c:v>15</c:v>
                </c:pt>
                <c:pt idx="11">
                  <c:v>1</c:v>
                </c:pt>
                <c:pt idx="12">
                  <c:v>2</c:v>
                </c:pt>
                <c:pt idx="13">
                  <c:v>44</c:v>
                </c:pt>
              </c:numCache>
            </c:numRef>
          </c:val>
        </c:ser>
        <c:dLbls>
          <c:showLegendKey val="0"/>
          <c:showVal val="0"/>
          <c:showCatName val="0"/>
          <c:showSerName val="0"/>
          <c:showPercent val="0"/>
          <c:showBubbleSize val="0"/>
        </c:dLbls>
        <c:gapWidth val="182"/>
        <c:axId val="1541557680"/>
        <c:axId val="1541570736"/>
      </c:barChart>
      <c:catAx>
        <c:axId val="1541557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70736"/>
        <c:crosses val="autoZero"/>
        <c:auto val="1"/>
        <c:lblAlgn val="ctr"/>
        <c:lblOffset val="100"/>
        <c:noMultiLvlLbl val="0"/>
      </c:catAx>
      <c:valAx>
        <c:axId val="1541570736"/>
        <c:scaling>
          <c:orientation val="minMax"/>
        </c:scaling>
        <c:delete val="1"/>
        <c:axPos val="b"/>
        <c:numFmt formatCode="General" sourceLinked="1"/>
        <c:majorTickMark val="none"/>
        <c:minorTickMark val="none"/>
        <c:tickLblPos val="nextTo"/>
        <c:crossAx val="154155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'SP3'!$A$2</c:f>
              <c:strCache>
                <c:ptCount val="1"/>
                <c:pt idx="0">
                  <c:v>SP3 - We will have contributed to a reduction in health inequalities through reduced exposure to socio-economic inequality</c:v>
                </c:pt>
              </c:strCache>
            </c:strRef>
          </c:tx>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('SP3'!$E$1:$G$1,'SP3'!$J$1)</c:f>
              <c:strCache>
                <c:ptCount val="4"/>
                <c:pt idx="0">
                  <c:v>Budget</c:v>
                </c:pt>
                <c:pt idx="1">
                  <c:v>YTD Budget</c:v>
                </c:pt>
                <c:pt idx="2">
                  <c:v>Actual</c:v>
                </c:pt>
                <c:pt idx="3">
                  <c:v>Committed Spend</c:v>
                </c:pt>
              </c:strCache>
            </c:strRef>
          </c:cat>
          <c:val>
            <c:numRef>
              <c:f>('SP3'!$E$2:$G$2,'SP3'!$J$2)</c:f>
              <c:numCache>
                <c:formatCode>0.00</c:formatCode>
                <c:ptCount val="4"/>
                <c:pt idx="0">
                  <c:v>893517</c:v>
                </c:pt>
                <c:pt idx="1">
                  <c:v>777213</c:v>
                </c:pt>
                <c:pt idx="2">
                  <c:v>118857.04</c:v>
                </c:pt>
                <c:pt idx="3">
                  <c:v>681237.72</c:v>
                </c:pt>
              </c:numCache>
            </c:numRef>
          </c:val>
        </c:ser>
        <c:dLbls>
          <c:showLegendKey val="0"/>
          <c:showVal val="0"/>
          <c:showCatName val="0"/>
          <c:showSerName val="0"/>
          <c:showPercent val="0"/>
          <c:showBubbleSize val="0"/>
        </c:dLbls>
        <c:gapWidth val="219"/>
        <c:overlap val="-27"/>
        <c:axId val="1646861296"/>
        <c:axId val="1646870544"/>
      </c:barChart>
      <c:catAx>
        <c:axId val="164686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70544"/>
        <c:crosses val="autoZero"/>
        <c:auto val="1"/>
        <c:lblAlgn val="ctr"/>
        <c:lblOffset val="100"/>
        <c:noMultiLvlLbl val="0"/>
      </c:catAx>
      <c:valAx>
        <c:axId val="1646870544"/>
        <c:scaling>
          <c:orientation val="minMax"/>
        </c:scaling>
        <c:delete val="1"/>
        <c:axPos val="l"/>
        <c:numFmt formatCode="0.00" sourceLinked="1"/>
        <c:majorTickMark val="none"/>
        <c:minorTickMark val="none"/>
        <c:tickLblPos val="nextTo"/>
        <c:crossAx val="164686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SP3 per month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'Staff time per month'!$A$33:$A$35</c:f>
              <c:strCache>
                <c:ptCount val="3"/>
                <c:pt idx="0">
                  <c:v>Apr</c:v>
                </c:pt>
                <c:pt idx="1">
                  <c:v>May</c:v>
                </c:pt>
                <c:pt idx="2">
                  <c:v>Jun</c:v>
                </c:pt>
              </c:strCache>
            </c:strRef>
          </c:cat>
          <c:val>
            <c:numRef>
              <c:f>'Staff time per month'!$B$33:$B$35</c:f>
              <c:numCache>
                <c:formatCode>0.0</c:formatCode>
                <c:ptCount val="3"/>
                <c:pt idx="0">
                  <c:v>308.8</c:v>
                </c:pt>
                <c:pt idx="1">
                  <c:v>326.10000000000002</c:v>
                </c:pt>
                <c:pt idx="2">
                  <c:v>283.3</c:v>
                </c:pt>
              </c:numCache>
            </c:numRef>
          </c:val>
          <c:smooth val="0"/>
        </c:ser>
        <c:dLbls>
          <c:dLblPos val="t"/>
          <c:showLegendKey val="0"/>
          <c:showVal val="1"/>
          <c:showCatName val="0"/>
          <c:showSerName val="0"/>
          <c:showPercent val="0"/>
          <c:showBubbleSize val="0"/>
        </c:dLbls>
        <c:marker val="1"/>
        <c:smooth val="0"/>
        <c:axId val="1646860208"/>
        <c:axId val="1646869456"/>
      </c:lineChart>
      <c:catAx>
        <c:axId val="164686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9456"/>
        <c:crosses val="autoZero"/>
        <c:auto val="1"/>
        <c:lblAlgn val="ctr"/>
        <c:lblOffset val="100"/>
        <c:noMultiLvlLbl val="0"/>
      </c:catAx>
      <c:valAx>
        <c:axId val="164686945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4686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Proportion</a:t>
            </a:r>
            <a:r>
              <a:rPr lang="en-US" sz="1400" baseline="0"/>
              <a:t> of all time spent in the organisation that was attributed to working on </a:t>
            </a:r>
            <a:r>
              <a:rPr lang="en-US" sz="1400"/>
              <a:t>SP3 per quarter</a:t>
            </a: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quarter'!$A$6</c:f>
              <c:strCache>
                <c:ptCount val="1"/>
                <c:pt idx="0">
                  <c:v>SP3</c:v>
                </c:pt>
              </c:strCache>
            </c:strRef>
          </c:tx>
          <c:spPr>
            <a:solidFill>
              <a:schemeClr val="accent1"/>
            </a:solidFill>
            <a:ln>
              <a:noFill/>
            </a:ln>
            <a:effectLst/>
          </c:spPr>
          <c:invertIfNegative val="0"/>
          <c:dLbls>
            <c:dLbl>
              <c:idx val="0"/>
              <c:layout/>
              <c:tx>
                <c:rich>
                  <a:bodyPr/>
                  <a:lstStyle/>
                  <a:p>
                    <a:fld id="{50FCEAD1-C5BF-4E76-8D18-F6EE53CDF9F1}" type="VALUE">
                      <a:rPr lang="en-US"/>
                      <a:pPr/>
                      <a:t>[VALUE]</a:t>
                    </a:fld>
                    <a:endParaRPr lang="en-US"/>
                  </a:p>
                  <a:p>
                    <a:r>
                      <a:rPr lang="en-US"/>
                      <a:t>(918.2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2B40FF4A-28A4-41AD-9F02-E8231DCD7EE2}" type="VALUE">
                      <a:rPr lang="en-US"/>
                      <a:pPr/>
                      <a:t>[VALUE]</a:t>
                    </a:fld>
                    <a:endParaRPr lang="en-US"/>
                  </a:p>
                  <a:p>
                    <a:r>
                      <a:rPr lang="en-US"/>
                      <a:t>(5020.5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tx>
                <c:rich>
                  <a:bodyPr/>
                  <a:lstStyle/>
                  <a:p>
                    <a:fld id="{B6DF4D16-9183-4C41-8EE6-5EB8792A30A6}" type="VALUE">
                      <a:rPr lang="en-US"/>
                      <a:pPr/>
                      <a:t>[VALUE]</a:t>
                    </a:fld>
                    <a:endParaRPr lang="en-US"/>
                  </a:p>
                  <a:p>
                    <a:r>
                      <a:rPr lang="en-US"/>
                      <a:t>(1082.8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66FAAAC5-795B-4EB7-9075-98CEB3CD4C7A}" type="VALUE">
                      <a:rPr lang="en-US"/>
                      <a:pPr/>
                      <a:t>[VALUE]</a:t>
                    </a:fld>
                    <a:endParaRPr lang="en-US"/>
                  </a:p>
                  <a:p>
                    <a:r>
                      <a:rPr lang="en-US"/>
                      <a:t>(1001.4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A9B17E8E-FF25-4EBF-A2EC-4AF9DCCD945D}" type="VALUE">
                      <a:rPr lang="en-US"/>
                      <a:pPr/>
                      <a:t>[VALUE]</a:t>
                    </a:fld>
                    <a:endParaRPr lang="en-US"/>
                  </a:p>
                  <a:p>
                    <a:r>
                      <a:rPr lang="en-US"/>
                      <a:t>(4663.5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01C2B0D-28A3-40D0-864F-4BD1775112D4}" type="VALUE">
                      <a:rPr lang="en-US"/>
                      <a:pPr/>
                      <a:t>[VALUE]</a:t>
                    </a:fld>
                    <a:endParaRPr lang="en-US"/>
                  </a:p>
                  <a:p>
                    <a:r>
                      <a:rPr lang="en-US"/>
                      <a:t>(5735.5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quarter'!$B$5,'% per quarter'!$G$5)</c:f>
              <c:strCache>
                <c:ptCount val="2"/>
                <c:pt idx="0">
                  <c:v>Cumulative Q1</c:v>
                </c:pt>
                <c:pt idx="1">
                  <c:v>Total planned 2019/20</c:v>
                </c:pt>
              </c:strCache>
            </c:strRef>
          </c:cat>
          <c:val>
            <c:numRef>
              <c:f>('% per quarter'!$B$6,'% per quarter'!$G$6)</c:f>
              <c:numCache>
                <c:formatCode>0.0%</c:formatCode>
                <c:ptCount val="2"/>
                <c:pt idx="0">
                  <c:v>0.125</c:v>
                </c:pt>
                <c:pt idx="1">
                  <c:v>0.15690000000000001</c:v>
                </c:pt>
              </c:numCache>
            </c:numRef>
          </c:val>
        </c:ser>
        <c:dLbls>
          <c:dLblPos val="outEnd"/>
          <c:showLegendKey val="0"/>
          <c:showVal val="1"/>
          <c:showCatName val="0"/>
          <c:showSerName val="0"/>
          <c:showPercent val="0"/>
          <c:showBubbleSize val="0"/>
        </c:dLbls>
        <c:gapWidth val="219"/>
        <c:overlap val="-27"/>
        <c:axId val="1646858032"/>
        <c:axId val="1646870000"/>
      </c:barChart>
      <c:catAx>
        <c:axId val="164685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70000"/>
        <c:crosses val="autoZero"/>
        <c:auto val="1"/>
        <c:lblAlgn val="ctr"/>
        <c:lblOffset val="100"/>
        <c:noMultiLvlLbl val="0"/>
      </c:catAx>
      <c:valAx>
        <c:axId val="1646870000"/>
        <c:scaling>
          <c:orientation val="minMax"/>
        </c:scaling>
        <c:delete val="1"/>
        <c:axPos val="l"/>
        <c:numFmt formatCode="0.0%" sourceLinked="1"/>
        <c:majorTickMark val="none"/>
        <c:minorTickMark val="none"/>
        <c:tickLblPos val="nextTo"/>
        <c:crossAx val="164685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080719.xlsx]SP4 Chart!PivotTable4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'SP4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'SP4 Chart'!$A$4:$A$12</c:f>
              <c:strCache>
                <c:ptCount val="8"/>
                <c:pt idx="0">
                  <c:v>Competing priorities reducing staffing capacity</c:v>
                </c:pt>
                <c:pt idx="1">
                  <c:v>Dropped</c:v>
                </c:pt>
                <c:pt idx="2">
                  <c:v>External suppliers not delivering</c:v>
                </c:pt>
                <c:pt idx="3">
                  <c:v>Funders changing funding</c:v>
                </c:pt>
                <c:pt idx="4">
                  <c:v>Issues with stakeholder engagement</c:v>
                </c:pt>
                <c:pt idx="5">
                  <c:v>No Issues</c:v>
                </c:pt>
                <c:pt idx="6">
                  <c:v>Non-reporting</c:v>
                </c:pt>
                <c:pt idx="7">
                  <c:v>Work not started yet</c:v>
                </c:pt>
              </c:strCache>
            </c:strRef>
          </c:cat>
          <c:val>
            <c:numRef>
              <c:f>'SP4 Chart'!$B$4:$B$12</c:f>
              <c:numCache>
                <c:formatCode>General</c:formatCode>
                <c:ptCount val="8"/>
                <c:pt idx="0">
                  <c:v>2</c:v>
                </c:pt>
                <c:pt idx="1">
                  <c:v>1</c:v>
                </c:pt>
                <c:pt idx="2">
                  <c:v>1</c:v>
                </c:pt>
                <c:pt idx="3">
                  <c:v>1</c:v>
                </c:pt>
                <c:pt idx="4">
                  <c:v>1</c:v>
                </c:pt>
                <c:pt idx="5">
                  <c:v>38</c:v>
                </c:pt>
                <c:pt idx="6">
                  <c:v>1</c:v>
                </c:pt>
                <c:pt idx="7">
                  <c:v>6</c:v>
                </c:pt>
              </c:numCache>
            </c:numRef>
          </c:val>
        </c:ser>
        <c:dLbls>
          <c:showLegendKey val="0"/>
          <c:showVal val="0"/>
          <c:showCatName val="0"/>
          <c:showSerName val="0"/>
          <c:showPercent val="0"/>
          <c:showBubbleSize val="0"/>
        </c:dLbls>
        <c:gapWidth val="182"/>
        <c:axId val="1646864560"/>
        <c:axId val="1646860752"/>
      </c:barChart>
      <c:catAx>
        <c:axId val="1646864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0752"/>
        <c:crosses val="autoZero"/>
        <c:auto val="1"/>
        <c:lblAlgn val="ctr"/>
        <c:lblOffset val="100"/>
        <c:noMultiLvlLbl val="0"/>
      </c:catAx>
      <c:valAx>
        <c:axId val="1646860752"/>
        <c:scaling>
          <c:orientation val="minMax"/>
        </c:scaling>
        <c:delete val="1"/>
        <c:axPos val="b"/>
        <c:numFmt formatCode="General" sourceLinked="1"/>
        <c:majorTickMark val="none"/>
        <c:minorTickMark val="none"/>
        <c:tickLblPos val="nextTo"/>
        <c:crossAx val="164686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'SP4'!$A$2</c:f>
              <c:strCache>
                <c:ptCount val="1"/>
                <c:pt idx="0">
                  <c:v>SP4 - Improve the quality and sustainability of Scotland’s physical and social environments</c:v>
                </c:pt>
              </c:strCache>
            </c:strRef>
          </c:tx>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('SP4'!$E$1:$G$1,'SP4'!$J$1)</c:f>
              <c:strCache>
                <c:ptCount val="4"/>
                <c:pt idx="0">
                  <c:v>Budget</c:v>
                </c:pt>
                <c:pt idx="1">
                  <c:v>YTD Budget</c:v>
                </c:pt>
                <c:pt idx="2">
                  <c:v>Actual</c:v>
                </c:pt>
                <c:pt idx="3">
                  <c:v>Committed Spend</c:v>
                </c:pt>
              </c:strCache>
            </c:strRef>
          </c:cat>
          <c:val>
            <c:numRef>
              <c:f>('SP4'!$E$2:$G$2,'SP4'!$J$2)</c:f>
              <c:numCache>
                <c:formatCode>0.00</c:formatCode>
                <c:ptCount val="4"/>
                <c:pt idx="0">
                  <c:v>297364</c:v>
                </c:pt>
                <c:pt idx="1">
                  <c:v>148078</c:v>
                </c:pt>
                <c:pt idx="2">
                  <c:v>53814.23</c:v>
                </c:pt>
                <c:pt idx="3">
                  <c:v>250763.23</c:v>
                </c:pt>
              </c:numCache>
            </c:numRef>
          </c:val>
        </c:ser>
        <c:dLbls>
          <c:showLegendKey val="0"/>
          <c:showVal val="0"/>
          <c:showCatName val="0"/>
          <c:showSerName val="0"/>
          <c:showPercent val="0"/>
          <c:showBubbleSize val="0"/>
        </c:dLbls>
        <c:gapWidth val="219"/>
        <c:overlap val="-27"/>
        <c:axId val="1646859664"/>
        <c:axId val="1646865648"/>
      </c:barChart>
      <c:catAx>
        <c:axId val="164685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5648"/>
        <c:crosses val="autoZero"/>
        <c:auto val="1"/>
        <c:lblAlgn val="ctr"/>
        <c:lblOffset val="100"/>
        <c:noMultiLvlLbl val="0"/>
      </c:catAx>
      <c:valAx>
        <c:axId val="1646865648"/>
        <c:scaling>
          <c:orientation val="minMax"/>
        </c:scaling>
        <c:delete val="1"/>
        <c:axPos val="l"/>
        <c:numFmt formatCode="0.00" sourceLinked="1"/>
        <c:majorTickMark val="none"/>
        <c:minorTickMark val="none"/>
        <c:tickLblPos val="nextTo"/>
        <c:crossAx val="164685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SP4 per month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'Staff time per month'!$E$3:$E$5</c:f>
              <c:strCache>
                <c:ptCount val="3"/>
                <c:pt idx="0">
                  <c:v>Apr</c:v>
                </c:pt>
                <c:pt idx="1">
                  <c:v>May</c:v>
                </c:pt>
                <c:pt idx="2">
                  <c:v>Jun</c:v>
                </c:pt>
              </c:strCache>
            </c:strRef>
          </c:cat>
          <c:val>
            <c:numRef>
              <c:f>'Staff time per month'!$F$3:$F$5</c:f>
              <c:numCache>
                <c:formatCode>0.0</c:formatCode>
                <c:ptCount val="3"/>
                <c:pt idx="0">
                  <c:v>124.2</c:v>
                </c:pt>
                <c:pt idx="1">
                  <c:v>148</c:v>
                </c:pt>
                <c:pt idx="2">
                  <c:v>141.80000000000001</c:v>
                </c:pt>
              </c:numCache>
            </c:numRef>
          </c:val>
          <c:smooth val="0"/>
        </c:ser>
        <c:dLbls>
          <c:dLblPos val="t"/>
          <c:showLegendKey val="0"/>
          <c:showVal val="1"/>
          <c:showCatName val="0"/>
          <c:showSerName val="0"/>
          <c:showPercent val="0"/>
          <c:showBubbleSize val="0"/>
        </c:dLbls>
        <c:marker val="1"/>
        <c:smooth val="0"/>
        <c:axId val="1646871088"/>
        <c:axId val="1646861840"/>
      </c:lineChart>
      <c:catAx>
        <c:axId val="164687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1840"/>
        <c:crosses val="autoZero"/>
        <c:auto val="1"/>
        <c:lblAlgn val="ctr"/>
        <c:lblOffset val="100"/>
        <c:noMultiLvlLbl val="0"/>
      </c:catAx>
      <c:valAx>
        <c:axId val="164686184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46871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 of all time spent in the organisation that was attributed</a:t>
            </a:r>
            <a:r>
              <a:rPr lang="en-US" baseline="0"/>
              <a:t> to working on </a:t>
            </a:r>
            <a:r>
              <a:rPr lang="en-US"/>
              <a:t>SP4 per</a:t>
            </a:r>
            <a:r>
              <a:rPr lang="en-US" baseline="0"/>
              <a:t> quarter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8935185185185185E-2"/>
          <c:y val="0.33745252570518458"/>
          <c:w val="0.93634259259259256"/>
          <c:h val="0.55270723249700526"/>
        </c:manualLayout>
      </c:layout>
      <c:barChart>
        <c:barDir val="col"/>
        <c:grouping val="clustered"/>
        <c:varyColors val="0"/>
        <c:ser>
          <c:idx val="0"/>
          <c:order val="0"/>
          <c:tx>
            <c:strRef>
              <c:f>'% per quarter'!$A$8</c:f>
              <c:strCache>
                <c:ptCount val="1"/>
                <c:pt idx="0">
                  <c:v>SP4</c:v>
                </c:pt>
              </c:strCache>
            </c:strRef>
          </c:tx>
          <c:spPr>
            <a:solidFill>
              <a:schemeClr val="accent1"/>
            </a:solidFill>
            <a:ln>
              <a:noFill/>
            </a:ln>
            <a:effectLst/>
          </c:spPr>
          <c:invertIfNegative val="0"/>
          <c:dLbls>
            <c:dLbl>
              <c:idx val="0"/>
              <c:layout/>
              <c:tx>
                <c:rich>
                  <a:bodyPr/>
                  <a:lstStyle/>
                  <a:p>
                    <a:fld id="{8BF929FE-5818-4EDC-8C6D-10E433BEBC8B}" type="VALUE">
                      <a:rPr lang="en-US"/>
                      <a:pPr/>
                      <a:t>[VALUE]</a:t>
                    </a:fld>
                    <a:endParaRPr lang="en-US"/>
                  </a:p>
                  <a:p>
                    <a:r>
                      <a:rPr lang="en-US"/>
                      <a:t>(414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B50B69F0-3DAD-4018-9CA0-69F187F12796}" type="VALUE">
                      <a:rPr lang="en-US"/>
                      <a:pPr/>
                      <a:t>[VALUE]</a:t>
                    </a:fld>
                    <a:endParaRPr lang="en-US"/>
                  </a:p>
                  <a:p>
                    <a:r>
                      <a:rPr lang="en-US"/>
                      <a:t>(2289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tx>
                <c:rich>
                  <a:bodyPr/>
                  <a:lstStyle/>
                  <a:p>
                    <a:fld id="{136E6DE6-A663-45A6-92EE-FC90A3AAEF26}" type="VALUE">
                      <a:rPr lang="en-US"/>
                      <a:pPr/>
                      <a:t>[VALUE]</a:t>
                    </a:fld>
                    <a:endParaRPr lang="en-US"/>
                  </a:p>
                  <a:p>
                    <a:r>
                      <a:rPr lang="en-US"/>
                      <a:t>(291.8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FFC0F8F4-6234-4CCC-B7D0-CAD675C793DC}" type="VALUE">
                      <a:rPr lang="en-US"/>
                      <a:pPr/>
                      <a:t>[VALUE]</a:t>
                    </a:fld>
                    <a:endParaRPr lang="en-US"/>
                  </a:p>
                  <a:p>
                    <a:r>
                      <a:rPr lang="en-US"/>
                      <a:t>(158.2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A7E6580D-3945-436E-A680-8FC1ADE94AB5}" type="VALUE">
                      <a:rPr lang="en-US"/>
                      <a:pPr/>
                      <a:t>[VALUE]</a:t>
                    </a:fld>
                    <a:endParaRPr lang="en-US"/>
                  </a:p>
                  <a:p>
                    <a:r>
                      <a:rPr lang="en-US"/>
                      <a:t>(1004.9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A86AFA47-96DA-4027-906D-0A931CF08A80}" type="VALUE">
                      <a:rPr lang="en-US"/>
                      <a:pPr/>
                      <a:t>[VALUE]</a:t>
                    </a:fld>
                    <a:endParaRPr lang="en-US"/>
                  </a:p>
                  <a:p>
                    <a:r>
                      <a:rPr lang="en-US"/>
                      <a:t>(1669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quarter'!$B$7,'% per quarter'!$G$7)</c:f>
              <c:strCache>
                <c:ptCount val="2"/>
                <c:pt idx="0">
                  <c:v>Cumulative Q1</c:v>
                </c:pt>
                <c:pt idx="1">
                  <c:v>Total planned 2019/20</c:v>
                </c:pt>
              </c:strCache>
            </c:strRef>
          </c:cat>
          <c:val>
            <c:numRef>
              <c:f>('% per quarter'!$B$8,'% per quarter'!$G$8)</c:f>
              <c:numCache>
                <c:formatCode>0.0%</c:formatCode>
                <c:ptCount val="2"/>
                <c:pt idx="0">
                  <c:v>5.6000000000000001E-2</c:v>
                </c:pt>
                <c:pt idx="1">
                  <c:v>7.1499999999999994E-2</c:v>
                </c:pt>
              </c:numCache>
            </c:numRef>
          </c:val>
        </c:ser>
        <c:dLbls>
          <c:dLblPos val="outEnd"/>
          <c:showLegendKey val="0"/>
          <c:showVal val="1"/>
          <c:showCatName val="0"/>
          <c:showSerName val="0"/>
          <c:showPercent val="0"/>
          <c:showBubbleSize val="0"/>
        </c:dLbls>
        <c:gapWidth val="219"/>
        <c:overlap val="-27"/>
        <c:axId val="1646858576"/>
        <c:axId val="1646862384"/>
      </c:barChart>
      <c:catAx>
        <c:axId val="164685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2384"/>
        <c:crosses val="autoZero"/>
        <c:auto val="1"/>
        <c:lblAlgn val="ctr"/>
        <c:lblOffset val="100"/>
        <c:noMultiLvlLbl val="0"/>
      </c:catAx>
      <c:valAx>
        <c:axId val="1646862384"/>
        <c:scaling>
          <c:orientation val="minMax"/>
        </c:scaling>
        <c:delete val="1"/>
        <c:axPos val="l"/>
        <c:numFmt formatCode="0.0%" sourceLinked="1"/>
        <c:majorTickMark val="none"/>
        <c:minorTickMark val="none"/>
        <c:tickLblPos val="nextTo"/>
        <c:crossAx val="164685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080719.xlsx]SP5 Chart!PivotTable5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'SP5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'SP5 Chart'!$A$4:$A$15</c:f>
              <c:strCache>
                <c:ptCount val="11"/>
                <c:pt idx="0">
                  <c:v>Budget management issues</c:v>
                </c:pt>
                <c:pt idx="1">
                  <c:v>Competing priorities reducing staffing capacity</c:v>
                </c:pt>
                <c:pt idx="2">
                  <c:v>Completed</c:v>
                </c:pt>
                <c:pt idx="3">
                  <c:v>Dropped</c:v>
                </c:pt>
                <c:pt idx="4">
                  <c:v>Funders changing funding</c:v>
                </c:pt>
                <c:pt idx="5">
                  <c:v>Issues with stakeholder engagement</c:v>
                </c:pt>
                <c:pt idx="6">
                  <c:v>No Issues</c:v>
                </c:pt>
                <c:pt idx="7">
                  <c:v>Non-reporting</c:v>
                </c:pt>
                <c:pt idx="8">
                  <c:v>Unplanned absence reducing staffing capacity</c:v>
                </c:pt>
                <c:pt idx="9">
                  <c:v>Vacancy reducing staffing capacity</c:v>
                </c:pt>
                <c:pt idx="10">
                  <c:v>Work not started yet</c:v>
                </c:pt>
              </c:strCache>
            </c:strRef>
          </c:cat>
          <c:val>
            <c:numRef>
              <c:f>'SP5 Chart'!$B$4:$B$15</c:f>
              <c:numCache>
                <c:formatCode>General</c:formatCode>
                <c:ptCount val="11"/>
                <c:pt idx="0">
                  <c:v>2</c:v>
                </c:pt>
                <c:pt idx="1">
                  <c:v>3</c:v>
                </c:pt>
                <c:pt idx="2">
                  <c:v>3</c:v>
                </c:pt>
                <c:pt idx="3">
                  <c:v>1</c:v>
                </c:pt>
                <c:pt idx="4">
                  <c:v>1</c:v>
                </c:pt>
                <c:pt idx="5">
                  <c:v>5</c:v>
                </c:pt>
                <c:pt idx="6">
                  <c:v>85</c:v>
                </c:pt>
                <c:pt idx="7">
                  <c:v>1</c:v>
                </c:pt>
                <c:pt idx="8">
                  <c:v>1</c:v>
                </c:pt>
                <c:pt idx="9">
                  <c:v>1</c:v>
                </c:pt>
                <c:pt idx="10">
                  <c:v>6</c:v>
                </c:pt>
              </c:numCache>
            </c:numRef>
          </c:val>
        </c:ser>
        <c:dLbls>
          <c:showLegendKey val="0"/>
          <c:showVal val="0"/>
          <c:showCatName val="0"/>
          <c:showSerName val="0"/>
          <c:showPercent val="0"/>
          <c:showBubbleSize val="0"/>
        </c:dLbls>
        <c:gapWidth val="182"/>
        <c:axId val="1646862928"/>
        <c:axId val="1646866192"/>
      </c:barChart>
      <c:catAx>
        <c:axId val="1646862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6192"/>
        <c:crosses val="autoZero"/>
        <c:auto val="1"/>
        <c:lblAlgn val="ctr"/>
        <c:lblOffset val="100"/>
        <c:noMultiLvlLbl val="0"/>
      </c:catAx>
      <c:valAx>
        <c:axId val="1646866192"/>
        <c:scaling>
          <c:orientation val="minMax"/>
        </c:scaling>
        <c:delete val="1"/>
        <c:axPos val="b"/>
        <c:numFmt formatCode="General" sourceLinked="1"/>
        <c:majorTickMark val="none"/>
        <c:minorTickMark val="none"/>
        <c:tickLblPos val="nextTo"/>
        <c:crossAx val="164686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'SP5'!$A$2</c:f>
              <c:strCache>
                <c:ptCount val="1"/>
                <c:pt idx="0">
                  <c:v>SP5 - Transform how public services improve health and wellbeing</c:v>
                </c:pt>
              </c:strCache>
            </c:strRef>
          </c:tx>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('SP5'!$E$1:$G$1,'SP5'!$J$1)</c:f>
              <c:strCache>
                <c:ptCount val="4"/>
                <c:pt idx="0">
                  <c:v>Budget</c:v>
                </c:pt>
                <c:pt idx="1">
                  <c:v>YTD Budget</c:v>
                </c:pt>
                <c:pt idx="2">
                  <c:v>Actual</c:v>
                </c:pt>
                <c:pt idx="3">
                  <c:v>Committed Spend</c:v>
                </c:pt>
              </c:strCache>
            </c:strRef>
          </c:cat>
          <c:val>
            <c:numRef>
              <c:f>('SP5'!$E$2:$G$2,'SP5'!$J$2)</c:f>
              <c:numCache>
                <c:formatCode>0.00</c:formatCode>
                <c:ptCount val="4"/>
                <c:pt idx="0">
                  <c:v>162500</c:v>
                </c:pt>
                <c:pt idx="1">
                  <c:v>65040</c:v>
                </c:pt>
                <c:pt idx="2">
                  <c:v>44537.96</c:v>
                </c:pt>
                <c:pt idx="3">
                  <c:v>111043.26</c:v>
                </c:pt>
              </c:numCache>
            </c:numRef>
          </c:val>
        </c:ser>
        <c:dLbls>
          <c:showLegendKey val="0"/>
          <c:showVal val="0"/>
          <c:showCatName val="0"/>
          <c:showSerName val="0"/>
          <c:showPercent val="0"/>
          <c:showBubbleSize val="0"/>
        </c:dLbls>
        <c:gapWidth val="219"/>
        <c:overlap val="-27"/>
        <c:axId val="1646867280"/>
        <c:axId val="1646867824"/>
      </c:barChart>
      <c:catAx>
        <c:axId val="164686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7824"/>
        <c:crosses val="autoZero"/>
        <c:auto val="1"/>
        <c:lblAlgn val="ctr"/>
        <c:lblOffset val="100"/>
        <c:noMultiLvlLbl val="0"/>
      </c:catAx>
      <c:valAx>
        <c:axId val="1646867824"/>
        <c:scaling>
          <c:orientation val="minMax"/>
        </c:scaling>
        <c:delete val="1"/>
        <c:axPos val="l"/>
        <c:numFmt formatCode="0.00" sourceLinked="1"/>
        <c:majorTickMark val="none"/>
        <c:minorTickMark val="none"/>
        <c:tickLblPos val="nextTo"/>
        <c:crossAx val="164686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SP5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month'!$E$18:$E$20</c:f>
              <c:strCache>
                <c:ptCount val="3"/>
                <c:pt idx="0">
                  <c:v>Apr</c:v>
                </c:pt>
                <c:pt idx="1">
                  <c:v>May</c:v>
                </c:pt>
                <c:pt idx="2">
                  <c:v>Jun</c:v>
                </c:pt>
              </c:strCache>
            </c:strRef>
          </c:cat>
          <c:val>
            <c:numRef>
              <c:f>'Staff time per month'!$F$18:$F$20</c:f>
              <c:numCache>
                <c:formatCode>0.0</c:formatCode>
                <c:ptCount val="3"/>
                <c:pt idx="0">
                  <c:v>178.2</c:v>
                </c:pt>
                <c:pt idx="1">
                  <c:v>187.9</c:v>
                </c:pt>
                <c:pt idx="2">
                  <c:v>212.8</c:v>
                </c:pt>
              </c:numCache>
            </c:numRef>
          </c:val>
          <c:smooth val="0"/>
        </c:ser>
        <c:dLbls>
          <c:dLblPos val="t"/>
          <c:showLegendKey val="0"/>
          <c:showVal val="1"/>
          <c:showCatName val="0"/>
          <c:showSerName val="0"/>
          <c:showPercent val="0"/>
          <c:showBubbleSize val="0"/>
        </c:dLbls>
        <c:marker val="1"/>
        <c:smooth val="0"/>
        <c:axId val="1646865104"/>
        <c:axId val="1646868368"/>
      </c:lineChart>
      <c:catAx>
        <c:axId val="164686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8368"/>
        <c:crosses val="autoZero"/>
        <c:auto val="1"/>
        <c:lblAlgn val="ctr"/>
        <c:lblOffset val="100"/>
        <c:noMultiLvlLbl val="0"/>
      </c:catAx>
      <c:valAx>
        <c:axId val="164686836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4686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'SP1'!$A$2</c:f>
              <c:strCache>
                <c:ptCount val="1"/>
                <c:pt idx="0">
                  <c:v>SP1 - All strategies are equitable and focused on prevention of harm to health and wellbeing </c:v>
                </c:pt>
              </c:strCache>
            </c:strRef>
          </c:tx>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('SP1'!$E$1:$G$1,'SP1'!$J$1)</c:f>
              <c:strCache>
                <c:ptCount val="4"/>
                <c:pt idx="0">
                  <c:v>Budget</c:v>
                </c:pt>
                <c:pt idx="1">
                  <c:v>YTD Budget</c:v>
                </c:pt>
                <c:pt idx="2">
                  <c:v>Actual</c:v>
                </c:pt>
                <c:pt idx="3">
                  <c:v>Committed Spend</c:v>
                </c:pt>
              </c:strCache>
            </c:strRef>
          </c:cat>
          <c:val>
            <c:numRef>
              <c:f>('SP1'!$E$2:$G$2,'SP1'!$J$2)</c:f>
              <c:numCache>
                <c:formatCode>0.00</c:formatCode>
                <c:ptCount val="4"/>
                <c:pt idx="0">
                  <c:v>884535.5</c:v>
                </c:pt>
                <c:pt idx="1">
                  <c:v>193578</c:v>
                </c:pt>
                <c:pt idx="2">
                  <c:v>20198.87</c:v>
                </c:pt>
                <c:pt idx="3">
                  <c:v>297209.83</c:v>
                </c:pt>
              </c:numCache>
            </c:numRef>
          </c:val>
        </c:ser>
        <c:dLbls>
          <c:showLegendKey val="0"/>
          <c:showVal val="0"/>
          <c:showCatName val="0"/>
          <c:showSerName val="0"/>
          <c:showPercent val="0"/>
          <c:showBubbleSize val="0"/>
        </c:dLbls>
        <c:gapWidth val="219"/>
        <c:overlap val="-27"/>
        <c:axId val="1541568560"/>
        <c:axId val="1541558224"/>
      </c:barChart>
      <c:catAx>
        <c:axId val="154156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58224"/>
        <c:crosses val="autoZero"/>
        <c:auto val="1"/>
        <c:lblAlgn val="ctr"/>
        <c:lblOffset val="100"/>
        <c:noMultiLvlLbl val="0"/>
      </c:catAx>
      <c:valAx>
        <c:axId val="1541558224"/>
        <c:scaling>
          <c:orientation val="minMax"/>
        </c:scaling>
        <c:delete val="1"/>
        <c:axPos val="l"/>
        <c:numFmt formatCode="0.00" sourceLinked="1"/>
        <c:majorTickMark val="none"/>
        <c:minorTickMark val="none"/>
        <c:tickLblPos val="nextTo"/>
        <c:crossAx val="154156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Proportion  of all time spent in the orgaisation that was attributed</a:t>
            </a:r>
            <a:r>
              <a:rPr lang="en-US" sz="1400" baseline="0"/>
              <a:t> to working on </a:t>
            </a:r>
            <a:r>
              <a:rPr lang="en-US" sz="1400"/>
              <a:t>SP5 </a:t>
            </a:r>
            <a:r>
              <a:rPr lang="en-GB" sz="1400" b="0" i="0" baseline="0">
                <a:effectLst/>
              </a:rPr>
              <a:t>per quarter</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quarter'!$A$10</c:f>
              <c:strCache>
                <c:ptCount val="1"/>
                <c:pt idx="0">
                  <c:v>SP5</c:v>
                </c:pt>
              </c:strCache>
            </c:strRef>
          </c:tx>
          <c:spPr>
            <a:solidFill>
              <a:schemeClr val="accent1"/>
            </a:solidFill>
            <a:ln>
              <a:noFill/>
            </a:ln>
            <a:effectLst/>
          </c:spPr>
          <c:invertIfNegative val="0"/>
          <c:dLbls>
            <c:dLbl>
              <c:idx val="0"/>
              <c:tx>
                <c:rich>
                  <a:bodyPr/>
                  <a:lstStyle/>
                  <a:p>
                    <a:fld id="{FCBB5EE1-10A7-4672-B993-165C6903BE77}" type="VALUE">
                      <a:rPr lang="en-US"/>
                      <a:pPr/>
                      <a:t>[VALUE]</a:t>
                    </a:fld>
                    <a:endParaRPr lang="en-US"/>
                  </a:p>
                  <a:p>
                    <a:r>
                      <a:rPr lang="en-US"/>
                      <a:t>(578.9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9DFBF757-C380-41C4-AB8F-0CFEF9FC46D3}" type="VALUE">
                      <a:rPr lang="en-US"/>
                      <a:pPr/>
                      <a:t>[VALUE]</a:t>
                    </a:fld>
                    <a:endParaRPr lang="en-US"/>
                  </a:p>
                  <a:p>
                    <a:r>
                      <a:rPr lang="en-US"/>
                      <a:t>(3544.5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BC0731FF-0E1B-4B64-B2B7-40F4D40B7294}" type="VALUE">
                      <a:rPr lang="en-US"/>
                      <a:pPr/>
                      <a:t>[VALUE]</a:t>
                    </a:fld>
                    <a:endParaRPr lang="en-US"/>
                  </a:p>
                  <a:p>
                    <a:r>
                      <a:rPr lang="en-US"/>
                      <a:t>(564.7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AA0063AC-7F66-4994-9699-14BED4DDD128}" type="VALUE">
                      <a:rPr lang="en-US"/>
                      <a:pPr/>
                      <a:t>[VALUE]</a:t>
                    </a:fld>
                    <a:endParaRPr lang="en-US"/>
                  </a:p>
                  <a:p>
                    <a:r>
                      <a:rPr lang="en-US"/>
                      <a:t>(433.2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DB68AC8D-BDDD-47F6-A040-7F6D5ED22CF0}" type="VALUE">
                      <a:rPr lang="en-US"/>
                      <a:pPr/>
                      <a:t>[VALUE]</a:t>
                    </a:fld>
                    <a:endParaRPr lang="en-US"/>
                  </a:p>
                  <a:p>
                    <a:r>
                      <a:rPr lang="en-US"/>
                      <a:t>(2240.2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FB8CF04-ED10-4CEE-87C4-F0023947A261}" type="VALUE">
                      <a:rPr lang="en-US"/>
                      <a:pPr/>
                      <a:t>[VALUE]</a:t>
                    </a:fld>
                    <a:endParaRPr lang="en-US"/>
                  </a:p>
                  <a:p>
                    <a:r>
                      <a:rPr lang="en-US"/>
                      <a:t>(3006.5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quarter'!$B$9,'% per quarter'!$G$9)</c:f>
              <c:strCache>
                <c:ptCount val="2"/>
                <c:pt idx="0">
                  <c:v>Cumulative Q1</c:v>
                </c:pt>
                <c:pt idx="1">
                  <c:v>Total planned 2019/20</c:v>
                </c:pt>
              </c:strCache>
            </c:strRef>
          </c:cat>
          <c:val>
            <c:numRef>
              <c:f>('% per quarter'!$B$10,'% per quarter'!$G$10)</c:f>
              <c:numCache>
                <c:formatCode>0.0%</c:formatCode>
                <c:ptCount val="2"/>
                <c:pt idx="0">
                  <c:v>7.9000000000000001E-2</c:v>
                </c:pt>
                <c:pt idx="1">
                  <c:v>0.1108</c:v>
                </c:pt>
              </c:numCache>
            </c:numRef>
          </c:val>
        </c:ser>
        <c:dLbls>
          <c:dLblPos val="outEnd"/>
          <c:showLegendKey val="0"/>
          <c:showVal val="1"/>
          <c:showCatName val="0"/>
          <c:showSerName val="0"/>
          <c:showPercent val="0"/>
          <c:showBubbleSize val="0"/>
        </c:dLbls>
        <c:gapWidth val="219"/>
        <c:overlap val="-27"/>
        <c:axId val="1646868912"/>
        <c:axId val="1646871632"/>
      </c:barChart>
      <c:catAx>
        <c:axId val="164686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71632"/>
        <c:crosses val="autoZero"/>
        <c:auto val="1"/>
        <c:lblAlgn val="ctr"/>
        <c:lblOffset val="100"/>
        <c:noMultiLvlLbl val="0"/>
      </c:catAx>
      <c:valAx>
        <c:axId val="1646871632"/>
        <c:scaling>
          <c:orientation val="minMax"/>
        </c:scaling>
        <c:delete val="1"/>
        <c:axPos val="l"/>
        <c:numFmt formatCode="0.0%" sourceLinked="1"/>
        <c:majorTickMark val="none"/>
        <c:minorTickMark val="none"/>
        <c:tickLblPos val="nextTo"/>
        <c:crossAx val="164686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080719.xlsx]SCP Chart!PivotTable1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'SCP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 Chart'!$A$4:$A$12</c:f>
              <c:strCache>
                <c:ptCount val="8"/>
                <c:pt idx="0">
                  <c:v>Competing priorities reducing staffing capacity</c:v>
                </c:pt>
                <c:pt idx="1">
                  <c:v>Completed</c:v>
                </c:pt>
                <c:pt idx="2">
                  <c:v>Deferred</c:v>
                </c:pt>
                <c:pt idx="3">
                  <c:v>External suppliers not delievering</c:v>
                </c:pt>
                <c:pt idx="4">
                  <c:v>Funders changing priorities</c:v>
                </c:pt>
                <c:pt idx="5">
                  <c:v>Issues with stakeholder engagement</c:v>
                </c:pt>
                <c:pt idx="6">
                  <c:v>No Issues</c:v>
                </c:pt>
                <c:pt idx="7">
                  <c:v>Work not started yet</c:v>
                </c:pt>
              </c:strCache>
            </c:strRef>
          </c:cat>
          <c:val>
            <c:numRef>
              <c:f>'SCP Chart'!$B$4:$B$12</c:f>
              <c:numCache>
                <c:formatCode>General</c:formatCode>
                <c:ptCount val="8"/>
                <c:pt idx="0">
                  <c:v>2</c:v>
                </c:pt>
                <c:pt idx="1">
                  <c:v>3</c:v>
                </c:pt>
                <c:pt idx="2">
                  <c:v>1</c:v>
                </c:pt>
                <c:pt idx="3">
                  <c:v>1</c:v>
                </c:pt>
                <c:pt idx="4">
                  <c:v>1</c:v>
                </c:pt>
                <c:pt idx="5">
                  <c:v>2</c:v>
                </c:pt>
                <c:pt idx="6">
                  <c:v>40</c:v>
                </c:pt>
                <c:pt idx="7">
                  <c:v>3</c:v>
                </c:pt>
              </c:numCache>
            </c:numRef>
          </c:val>
        </c:ser>
        <c:dLbls>
          <c:showLegendKey val="0"/>
          <c:showVal val="0"/>
          <c:showCatName val="0"/>
          <c:showSerName val="0"/>
          <c:showPercent val="0"/>
          <c:showBubbleSize val="0"/>
        </c:dLbls>
        <c:gapWidth val="182"/>
        <c:axId val="1646863472"/>
        <c:axId val="1646856400"/>
      </c:barChart>
      <c:catAx>
        <c:axId val="164686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56400"/>
        <c:crosses val="autoZero"/>
        <c:auto val="1"/>
        <c:lblAlgn val="ctr"/>
        <c:lblOffset val="100"/>
        <c:noMultiLvlLbl val="0"/>
      </c:catAx>
      <c:valAx>
        <c:axId val="1646856400"/>
        <c:scaling>
          <c:orientation val="minMax"/>
        </c:scaling>
        <c:delete val="1"/>
        <c:axPos val="b"/>
        <c:numFmt formatCode="General" sourceLinked="1"/>
        <c:majorTickMark val="none"/>
        <c:minorTickMark val="none"/>
        <c:tickLblPos val="nextTo"/>
        <c:crossAx val="164686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SCP!$A$2</c:f>
              <c:strCache>
                <c:ptCount val="1"/>
                <c:pt idx="0">
                  <c:v>SCP – Making a successful transition</c:v>
                </c:pt>
              </c:strCache>
            </c:strRef>
          </c:tx>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(SCP!$E$1:$G$1,SCP!$J$1)</c:f>
              <c:strCache>
                <c:ptCount val="4"/>
                <c:pt idx="0">
                  <c:v>Budget</c:v>
                </c:pt>
                <c:pt idx="1">
                  <c:v>YTD Budget</c:v>
                </c:pt>
                <c:pt idx="2">
                  <c:v>Actual</c:v>
                </c:pt>
                <c:pt idx="3">
                  <c:v>Committed Spend</c:v>
                </c:pt>
              </c:strCache>
            </c:strRef>
          </c:cat>
          <c:val>
            <c:numRef>
              <c:f>(SCP!$E$2:$G$2,SCP!$J$2)</c:f>
              <c:numCache>
                <c:formatCode>0.00</c:formatCode>
                <c:ptCount val="4"/>
                <c:pt idx="0">
                  <c:v>23000</c:v>
                </c:pt>
                <c:pt idx="1">
                  <c:v>4000</c:v>
                </c:pt>
                <c:pt idx="2">
                  <c:v>727</c:v>
                </c:pt>
                <c:pt idx="3">
                  <c:v>3527</c:v>
                </c:pt>
              </c:numCache>
            </c:numRef>
          </c:val>
        </c:ser>
        <c:dLbls>
          <c:showLegendKey val="0"/>
          <c:showVal val="0"/>
          <c:showCatName val="0"/>
          <c:showSerName val="0"/>
          <c:showPercent val="0"/>
          <c:showBubbleSize val="0"/>
        </c:dLbls>
        <c:gapWidth val="219"/>
        <c:overlap val="-27"/>
        <c:axId val="1646856944"/>
        <c:axId val="1646864016"/>
      </c:barChart>
      <c:catAx>
        <c:axId val="164685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64016"/>
        <c:crosses val="autoZero"/>
        <c:auto val="1"/>
        <c:lblAlgn val="ctr"/>
        <c:lblOffset val="100"/>
        <c:noMultiLvlLbl val="0"/>
      </c:catAx>
      <c:valAx>
        <c:axId val="1646864016"/>
        <c:scaling>
          <c:orientation val="minMax"/>
        </c:scaling>
        <c:delete val="1"/>
        <c:axPos val="l"/>
        <c:numFmt formatCode="0.00" sourceLinked="1"/>
        <c:majorTickMark val="none"/>
        <c:minorTickMark val="none"/>
        <c:tickLblPos val="nextTo"/>
        <c:crossAx val="164685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SCP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month'!$I$18:$I$20</c:f>
              <c:strCache>
                <c:ptCount val="3"/>
                <c:pt idx="0">
                  <c:v>Apr</c:v>
                </c:pt>
                <c:pt idx="1">
                  <c:v>May</c:v>
                </c:pt>
                <c:pt idx="2">
                  <c:v>Jun</c:v>
                </c:pt>
              </c:strCache>
            </c:strRef>
          </c:cat>
          <c:val>
            <c:numRef>
              <c:f>'Staff time per month'!$J$18:$J$20</c:f>
              <c:numCache>
                <c:formatCode>0.0</c:formatCode>
                <c:ptCount val="3"/>
                <c:pt idx="0">
                  <c:v>288.8</c:v>
                </c:pt>
                <c:pt idx="1">
                  <c:v>324.39999999999998</c:v>
                </c:pt>
                <c:pt idx="2">
                  <c:v>301.3</c:v>
                </c:pt>
              </c:numCache>
            </c:numRef>
          </c:val>
          <c:smooth val="0"/>
        </c:ser>
        <c:dLbls>
          <c:dLblPos val="t"/>
          <c:showLegendKey val="0"/>
          <c:showVal val="1"/>
          <c:showCatName val="0"/>
          <c:showSerName val="0"/>
          <c:showPercent val="0"/>
          <c:showBubbleSize val="0"/>
        </c:dLbls>
        <c:marker val="1"/>
        <c:smooth val="0"/>
        <c:axId val="1646857488"/>
        <c:axId val="1646859120"/>
      </c:lineChart>
      <c:catAx>
        <c:axId val="164685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859120"/>
        <c:crosses val="autoZero"/>
        <c:auto val="1"/>
        <c:lblAlgn val="ctr"/>
        <c:lblOffset val="100"/>
        <c:noMultiLvlLbl val="0"/>
      </c:catAx>
      <c:valAx>
        <c:axId val="164685912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4685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t>Proportion of all time spent in the organisation that was attributed to working on SCP </a:t>
            </a:r>
            <a:r>
              <a:rPr lang="en-GB" sz="1400" b="0" i="0" baseline="0">
                <a:effectLst/>
              </a:rPr>
              <a:t>per quarter</a:t>
            </a: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quarter'!$A$12</c:f>
              <c:strCache>
                <c:ptCount val="1"/>
                <c:pt idx="0">
                  <c:v>SCP</c:v>
                </c:pt>
              </c:strCache>
            </c:strRef>
          </c:tx>
          <c:spPr>
            <a:solidFill>
              <a:schemeClr val="accent1"/>
            </a:solidFill>
            <a:ln>
              <a:noFill/>
            </a:ln>
            <a:effectLst/>
          </c:spPr>
          <c:invertIfNegative val="0"/>
          <c:dLbls>
            <c:dLbl>
              <c:idx val="0"/>
              <c:tx>
                <c:rich>
                  <a:bodyPr/>
                  <a:lstStyle/>
                  <a:p>
                    <a:fld id="{4AC19F86-3AA0-41F3-A439-E98B79EF586B}" type="VALUE">
                      <a:rPr lang="en-US"/>
                      <a:pPr/>
                      <a:t>[VALUE]</a:t>
                    </a:fld>
                    <a:endParaRPr lang="en-US"/>
                  </a:p>
                  <a:p>
                    <a:r>
                      <a:rPr lang="en-US"/>
                      <a:t>(914.5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48E8B0A-979B-42E4-B9AF-BF733032F63F}" type="VALUE">
                      <a:rPr lang="en-US"/>
                      <a:pPr/>
                      <a:t>[VALUE]</a:t>
                    </a:fld>
                    <a:endParaRPr lang="en-US"/>
                  </a:p>
                  <a:p>
                    <a:r>
                      <a:rPr lang="en-US"/>
                      <a:t>(4253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39129CD3-5D97-4360-95AF-97DA52A020B3}" type="VALUE">
                      <a:rPr lang="en-US"/>
                      <a:pPr/>
                      <a:t>[VALUE]</a:t>
                    </a:fld>
                    <a:endParaRPr lang="en-US"/>
                  </a:p>
                  <a:p>
                    <a:r>
                      <a:rPr lang="en-US"/>
                      <a:t>(6.5</a:t>
                    </a:r>
                    <a:r>
                      <a:rPr lang="en-US" baseline="0"/>
                      <a:t>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7F311C30-6155-46A4-9175-CF45AF43F1D3}" type="VALUE">
                      <a:rPr lang="en-US"/>
                      <a:pPr/>
                      <a:t>[VALUE]</a:t>
                    </a:fld>
                    <a:endParaRPr lang="en-US"/>
                  </a:p>
                  <a:p>
                    <a:r>
                      <a:rPr lang="en-US"/>
                      <a:t>(2.5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F2BDB0D8-C3C4-4BED-91C2-7B063A8F2DBE}" type="VALUE">
                      <a:rPr lang="en-US"/>
                      <a:pPr/>
                      <a:t>[VALUE]</a:t>
                    </a:fld>
                    <a:endParaRPr lang="en-US"/>
                  </a:p>
                  <a:p>
                    <a:r>
                      <a:rPr lang="en-US"/>
                      <a:t>(36.6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09524EB-E0FB-4071-80C1-6EA0DB3E2686}" type="VALUE">
                      <a:rPr lang="en-US"/>
                      <a:pPr/>
                      <a:t>[VALUE]</a:t>
                    </a:fld>
                    <a:endParaRPr lang="en-US"/>
                  </a:p>
                  <a:p>
                    <a:r>
                      <a:rPr lang="en-US"/>
                      <a:t>(206.5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quarter'!$B$11,'% per quarter'!$G$11)</c:f>
              <c:strCache>
                <c:ptCount val="2"/>
                <c:pt idx="0">
                  <c:v>Cumulative Q1</c:v>
                </c:pt>
                <c:pt idx="1">
                  <c:v>Total planned 2019/20</c:v>
                </c:pt>
              </c:strCache>
            </c:strRef>
          </c:cat>
          <c:val>
            <c:numRef>
              <c:f>('% per quarter'!$B$12,'% per quarter'!$G$12)</c:f>
              <c:numCache>
                <c:formatCode>0.0%</c:formatCode>
                <c:ptCount val="2"/>
                <c:pt idx="0">
                  <c:v>0.124</c:v>
                </c:pt>
                <c:pt idx="1">
                  <c:v>0.13289999999999999</c:v>
                </c:pt>
              </c:numCache>
            </c:numRef>
          </c:val>
        </c:ser>
        <c:dLbls>
          <c:showLegendKey val="0"/>
          <c:showVal val="0"/>
          <c:showCatName val="0"/>
          <c:showSerName val="0"/>
          <c:showPercent val="0"/>
          <c:showBubbleSize val="0"/>
        </c:dLbls>
        <c:gapWidth val="219"/>
        <c:overlap val="-27"/>
        <c:axId val="1648306416"/>
        <c:axId val="1648318384"/>
      </c:barChart>
      <c:catAx>
        <c:axId val="164830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8384"/>
        <c:crosses val="autoZero"/>
        <c:auto val="1"/>
        <c:lblAlgn val="ctr"/>
        <c:lblOffset val="100"/>
        <c:noMultiLvlLbl val="0"/>
      </c:catAx>
      <c:valAx>
        <c:axId val="1648318384"/>
        <c:scaling>
          <c:orientation val="minMax"/>
        </c:scaling>
        <c:delete val="1"/>
        <c:axPos val="l"/>
        <c:numFmt formatCode="0.0%" sourceLinked="1"/>
        <c:majorTickMark val="none"/>
        <c:minorTickMark val="none"/>
        <c:tickLblPos val="nextTo"/>
        <c:crossAx val="164830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080719.xlsx]Core Chart!PivotTable6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a:t>
            </a:r>
            <a:r>
              <a:rPr lang="en-US" baseline="0"/>
              <a:t> Services</a:t>
            </a:r>
            <a:endParaRPr lang="en-US"/>
          </a:p>
        </c:rich>
      </c:tx>
      <c:layout>
        <c:manualLayout>
          <c:xMode val="edge"/>
          <c:yMode val="edge"/>
          <c:x val="0.456388888888888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'Core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 Chart'!$A$4:$A$13</c:f>
              <c:strCache>
                <c:ptCount val="9"/>
                <c:pt idx="0">
                  <c:v>Budget management issues</c:v>
                </c:pt>
                <c:pt idx="1">
                  <c:v>Competing priorities reducing staffing capacity</c:v>
                </c:pt>
                <c:pt idx="2">
                  <c:v>Completed</c:v>
                </c:pt>
                <c:pt idx="3">
                  <c:v>External suppliers not delivering</c:v>
                </c:pt>
                <c:pt idx="4">
                  <c:v>Funders changing priorities</c:v>
                </c:pt>
                <c:pt idx="5">
                  <c:v>Health Scotland support team staff capacity</c:v>
                </c:pt>
                <c:pt idx="6">
                  <c:v>No Issues</c:v>
                </c:pt>
                <c:pt idx="7">
                  <c:v>Non-reporting</c:v>
                </c:pt>
                <c:pt idx="8">
                  <c:v>Work not started yet</c:v>
                </c:pt>
              </c:strCache>
            </c:strRef>
          </c:cat>
          <c:val>
            <c:numRef>
              <c:f>'Core Chart'!$B$4:$B$13</c:f>
              <c:numCache>
                <c:formatCode>General</c:formatCode>
                <c:ptCount val="9"/>
                <c:pt idx="0">
                  <c:v>2</c:v>
                </c:pt>
                <c:pt idx="1">
                  <c:v>2</c:v>
                </c:pt>
                <c:pt idx="2">
                  <c:v>2</c:v>
                </c:pt>
                <c:pt idx="3">
                  <c:v>1</c:v>
                </c:pt>
                <c:pt idx="4">
                  <c:v>1</c:v>
                </c:pt>
                <c:pt idx="5">
                  <c:v>3</c:v>
                </c:pt>
                <c:pt idx="6">
                  <c:v>169</c:v>
                </c:pt>
                <c:pt idx="7">
                  <c:v>2</c:v>
                </c:pt>
                <c:pt idx="8">
                  <c:v>6</c:v>
                </c:pt>
              </c:numCache>
            </c:numRef>
          </c:val>
        </c:ser>
        <c:dLbls>
          <c:showLegendKey val="0"/>
          <c:showVal val="0"/>
          <c:showCatName val="0"/>
          <c:showSerName val="0"/>
          <c:showPercent val="0"/>
          <c:showBubbleSize val="0"/>
        </c:dLbls>
        <c:gapWidth val="182"/>
        <c:axId val="1648305872"/>
        <c:axId val="1648316752"/>
      </c:barChart>
      <c:catAx>
        <c:axId val="164830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6752"/>
        <c:crosses val="autoZero"/>
        <c:auto val="1"/>
        <c:lblAlgn val="ctr"/>
        <c:lblOffset val="100"/>
        <c:noMultiLvlLbl val="0"/>
      </c:catAx>
      <c:valAx>
        <c:axId val="1648316752"/>
        <c:scaling>
          <c:orientation val="minMax"/>
        </c:scaling>
        <c:delete val="1"/>
        <c:axPos val="b"/>
        <c:numFmt formatCode="General" sourceLinked="1"/>
        <c:majorTickMark val="none"/>
        <c:minorTickMark val="none"/>
        <c:tickLblPos val="nextTo"/>
        <c:crossAx val="164830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Core!$A$2</c:f>
              <c:strCache>
                <c:ptCount val="1"/>
                <c:pt idx="0">
                  <c:v>Core Services - Strategic Priority</c:v>
                </c:pt>
              </c:strCache>
            </c:strRef>
          </c:tx>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(Core!$E$1:$G$1,Core!$J$1)</c:f>
              <c:strCache>
                <c:ptCount val="4"/>
                <c:pt idx="0">
                  <c:v>Budget</c:v>
                </c:pt>
                <c:pt idx="1">
                  <c:v>YTD Budget</c:v>
                </c:pt>
                <c:pt idx="2">
                  <c:v>Actual</c:v>
                </c:pt>
                <c:pt idx="3">
                  <c:v>Committed Spend</c:v>
                </c:pt>
              </c:strCache>
            </c:strRef>
          </c:cat>
          <c:val>
            <c:numRef>
              <c:f>(Core!$E$2:$G$2,Core!$J$2)</c:f>
              <c:numCache>
                <c:formatCode>0.00</c:formatCode>
                <c:ptCount val="4"/>
                <c:pt idx="0">
                  <c:v>16899035</c:v>
                </c:pt>
                <c:pt idx="1">
                  <c:v>5459648.6500000004</c:v>
                </c:pt>
                <c:pt idx="2">
                  <c:v>3694059.24</c:v>
                </c:pt>
                <c:pt idx="3">
                  <c:v>5215225.28</c:v>
                </c:pt>
              </c:numCache>
            </c:numRef>
          </c:val>
        </c:ser>
        <c:dLbls>
          <c:showLegendKey val="0"/>
          <c:showVal val="0"/>
          <c:showCatName val="0"/>
          <c:showSerName val="0"/>
          <c:showPercent val="0"/>
          <c:showBubbleSize val="0"/>
        </c:dLbls>
        <c:gapWidth val="219"/>
        <c:overlap val="-27"/>
        <c:axId val="1648317296"/>
        <c:axId val="1648304784"/>
      </c:barChart>
      <c:catAx>
        <c:axId val="164831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4784"/>
        <c:crosses val="autoZero"/>
        <c:auto val="1"/>
        <c:lblAlgn val="ctr"/>
        <c:lblOffset val="100"/>
        <c:noMultiLvlLbl val="0"/>
      </c:catAx>
      <c:valAx>
        <c:axId val="1648304784"/>
        <c:scaling>
          <c:orientation val="minMax"/>
        </c:scaling>
        <c:delete val="1"/>
        <c:axPos val="l"/>
        <c:numFmt formatCode="0.00" sourceLinked="1"/>
        <c:majorTickMark val="none"/>
        <c:minorTickMark val="none"/>
        <c:tickLblPos val="nextTo"/>
        <c:crossAx val="1648317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a:t>
            </a:r>
            <a:r>
              <a:rPr lang="en-GB" baseline="0"/>
              <a:t> VLE stats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5000000000000001E-2"/>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222222222222119E-2"/>
                  <c:y val="-3.70370370370372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23E-2"/>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Participants</c:v>
                </c:pt>
                <c:pt idx="1">
                  <c:v>Courses</c:v>
                </c:pt>
                <c:pt idx="2">
                  <c:v>Trainers trained</c:v>
                </c:pt>
              </c:strCache>
            </c:strRef>
          </c:cat>
          <c:val>
            <c:numRef>
              <c:f>Sheet1!$B$3:$B$5</c:f>
              <c:numCache>
                <c:formatCode>General</c:formatCode>
                <c:ptCount val="3"/>
                <c:pt idx="0">
                  <c:v>3162</c:v>
                </c:pt>
                <c:pt idx="1">
                  <c:v>145</c:v>
                </c:pt>
                <c:pt idx="2">
                  <c:v>23</c:v>
                </c:pt>
              </c:numCache>
            </c:numRef>
          </c:val>
        </c:ser>
        <c:dLbls>
          <c:showLegendKey val="0"/>
          <c:showVal val="0"/>
          <c:showCatName val="0"/>
          <c:showSerName val="0"/>
          <c:showPercent val="0"/>
          <c:showBubbleSize val="0"/>
        </c:dLbls>
        <c:gapWidth val="150"/>
        <c:shape val="box"/>
        <c:axId val="1648314576"/>
        <c:axId val="1648306960"/>
        <c:axId val="0"/>
      </c:bar3DChart>
      <c:catAx>
        <c:axId val="1648314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6960"/>
        <c:crosses val="autoZero"/>
        <c:auto val="1"/>
        <c:lblAlgn val="ctr"/>
        <c:lblOffset val="100"/>
        <c:noMultiLvlLbl val="0"/>
      </c:catAx>
      <c:valAx>
        <c:axId val="1648306960"/>
        <c:scaling>
          <c:orientation val="minMax"/>
        </c:scaling>
        <c:delete val="1"/>
        <c:axPos val="l"/>
        <c:numFmt formatCode="General" sourceLinked="1"/>
        <c:majorTickMark val="none"/>
        <c:minorTickMark val="none"/>
        <c:tickLblPos val="nextTo"/>
        <c:crossAx val="164831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Twitter Engagement % Q1</a:t>
            </a:r>
          </a:p>
        </c:rich>
      </c:tx>
      <c:layout>
        <c:manualLayout>
          <c:xMode val="edge"/>
          <c:yMode val="edge"/>
          <c:x val="0.3150485564304462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Sheet2!$A$3:$A$6</c:f>
              <c:strCache>
                <c:ptCount val="4"/>
                <c:pt idx="0">
                  <c:v>April</c:v>
                </c:pt>
                <c:pt idx="1">
                  <c:v>May</c:v>
                </c:pt>
                <c:pt idx="2">
                  <c:v>June</c:v>
                </c:pt>
                <c:pt idx="3">
                  <c:v>AVG</c:v>
                </c:pt>
              </c:strCache>
            </c:strRef>
          </c:cat>
          <c:val>
            <c:numRef>
              <c:f>Sheet2!$B$3:$B$6</c:f>
              <c:numCache>
                <c:formatCode>General</c:formatCode>
                <c:ptCount val="4"/>
                <c:pt idx="0">
                  <c:v>0.9</c:v>
                </c:pt>
                <c:pt idx="1">
                  <c:v>1.2</c:v>
                </c:pt>
                <c:pt idx="2">
                  <c:v>1.1000000000000001</c:v>
                </c:pt>
                <c:pt idx="3" formatCode="0.00">
                  <c:v>1</c:v>
                </c:pt>
              </c:numCache>
            </c:numRef>
          </c:val>
        </c:ser>
        <c:dLbls>
          <c:showLegendKey val="0"/>
          <c:showVal val="0"/>
          <c:showCatName val="0"/>
          <c:showSerName val="0"/>
          <c:showPercent val="0"/>
          <c:showBubbleSize val="0"/>
        </c:dLbls>
        <c:gapWidth val="150"/>
        <c:shape val="box"/>
        <c:axId val="1648317840"/>
        <c:axId val="1648318928"/>
        <c:axId val="0"/>
      </c:bar3DChart>
      <c:catAx>
        <c:axId val="1648317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8928"/>
        <c:crosses val="autoZero"/>
        <c:auto val="1"/>
        <c:lblAlgn val="ctr"/>
        <c:lblOffset val="100"/>
        <c:noMultiLvlLbl val="0"/>
      </c:catAx>
      <c:valAx>
        <c:axId val="1648318928"/>
        <c:scaling>
          <c:orientation val="minMax"/>
        </c:scaling>
        <c:delete val="1"/>
        <c:axPos val="l"/>
        <c:numFmt formatCode="General" sourceLinked="1"/>
        <c:majorTickMark val="none"/>
        <c:minorTickMark val="none"/>
        <c:tickLblPos val="nextTo"/>
        <c:crossAx val="164831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New</a:t>
            </a:r>
            <a:r>
              <a:rPr lang="en-GB" baseline="0"/>
              <a:t> Twitter followers Q1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Sheet3!$A$4:$A$7</c:f>
              <c:strCache>
                <c:ptCount val="4"/>
                <c:pt idx="0">
                  <c:v>April</c:v>
                </c:pt>
                <c:pt idx="1">
                  <c:v>May</c:v>
                </c:pt>
                <c:pt idx="2">
                  <c:v>June</c:v>
                </c:pt>
                <c:pt idx="3">
                  <c:v>AVG</c:v>
                </c:pt>
              </c:strCache>
            </c:strRef>
          </c:cat>
          <c:val>
            <c:numRef>
              <c:f>Sheet3!$B$4:$B$7</c:f>
              <c:numCache>
                <c:formatCode>General</c:formatCode>
                <c:ptCount val="4"/>
                <c:pt idx="0">
                  <c:v>248</c:v>
                </c:pt>
                <c:pt idx="1">
                  <c:v>364</c:v>
                </c:pt>
                <c:pt idx="2">
                  <c:v>391</c:v>
                </c:pt>
                <c:pt idx="3">
                  <c:v>334</c:v>
                </c:pt>
              </c:numCache>
            </c:numRef>
          </c:val>
        </c:ser>
        <c:dLbls>
          <c:showLegendKey val="0"/>
          <c:showVal val="0"/>
          <c:showCatName val="0"/>
          <c:showSerName val="0"/>
          <c:showPercent val="0"/>
          <c:showBubbleSize val="0"/>
        </c:dLbls>
        <c:gapWidth val="150"/>
        <c:shape val="box"/>
        <c:axId val="1648310224"/>
        <c:axId val="1648311856"/>
        <c:axId val="0"/>
      </c:bar3DChart>
      <c:catAx>
        <c:axId val="1648310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1856"/>
        <c:crosses val="autoZero"/>
        <c:auto val="1"/>
        <c:lblAlgn val="ctr"/>
        <c:lblOffset val="100"/>
        <c:noMultiLvlLbl val="0"/>
      </c:catAx>
      <c:valAx>
        <c:axId val="1648311856"/>
        <c:scaling>
          <c:orientation val="minMax"/>
        </c:scaling>
        <c:delete val="1"/>
        <c:axPos val="l"/>
        <c:numFmt formatCode="General" sourceLinked="1"/>
        <c:majorTickMark val="none"/>
        <c:minorTickMark val="none"/>
        <c:tickLblPos val="nextTo"/>
        <c:crossAx val="164831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SP1 per month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'Staff time per month'!$A$3:$A$5</c:f>
              <c:strCache>
                <c:ptCount val="3"/>
                <c:pt idx="0">
                  <c:v>Apr</c:v>
                </c:pt>
                <c:pt idx="1">
                  <c:v>May</c:v>
                </c:pt>
                <c:pt idx="2">
                  <c:v>Jun</c:v>
                </c:pt>
              </c:strCache>
            </c:strRef>
          </c:cat>
          <c:val>
            <c:numRef>
              <c:f>'Staff time per month'!$B$3:$B$5</c:f>
              <c:numCache>
                <c:formatCode>0.0</c:formatCode>
                <c:ptCount val="3"/>
                <c:pt idx="0">
                  <c:v>349.6</c:v>
                </c:pt>
                <c:pt idx="1">
                  <c:v>344.2</c:v>
                </c:pt>
                <c:pt idx="2">
                  <c:v>378.7</c:v>
                </c:pt>
              </c:numCache>
            </c:numRef>
          </c:val>
          <c:smooth val="0"/>
        </c:ser>
        <c:dLbls>
          <c:dLblPos val="t"/>
          <c:showLegendKey val="0"/>
          <c:showVal val="1"/>
          <c:showCatName val="0"/>
          <c:showSerName val="0"/>
          <c:showPercent val="0"/>
          <c:showBubbleSize val="0"/>
        </c:dLbls>
        <c:marker val="1"/>
        <c:smooth val="0"/>
        <c:axId val="1541564752"/>
        <c:axId val="1541566928"/>
      </c:lineChart>
      <c:catAx>
        <c:axId val="154156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66928"/>
        <c:crosses val="autoZero"/>
        <c:auto val="1"/>
        <c:lblAlgn val="ctr"/>
        <c:lblOffset val="100"/>
        <c:noMultiLvlLbl val="0"/>
      </c:catAx>
      <c:valAx>
        <c:axId val="154156692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41564752"/>
        <c:crosses val="autoZero"/>
        <c:crossBetween val="between"/>
      </c:valAx>
      <c:spPr>
        <a:noFill/>
        <a:ln>
          <a:noFill/>
        </a:ln>
        <a:effectLst/>
      </c:spPr>
    </c:plotArea>
    <c:plotVisOnly val="1"/>
    <c:dispBlanksAs val="gap"/>
    <c:showDLblsOverMax val="0"/>
  </c:chart>
  <c:spPr>
    <a:solidFill>
      <a:schemeClr val="bg1"/>
    </a:solidFill>
    <a:ln w="9525" cap="rnd"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tweets Q1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Sheet4!$A$4:$A$7</c:f>
              <c:strCache>
                <c:ptCount val="4"/>
                <c:pt idx="0">
                  <c:v>April</c:v>
                </c:pt>
                <c:pt idx="1">
                  <c:v>May</c:v>
                </c:pt>
                <c:pt idx="2">
                  <c:v>June</c:v>
                </c:pt>
                <c:pt idx="3">
                  <c:v>AVG</c:v>
                </c:pt>
              </c:strCache>
            </c:strRef>
          </c:cat>
          <c:val>
            <c:numRef>
              <c:f>Sheet4!$B$4:$B$7</c:f>
              <c:numCache>
                <c:formatCode>General</c:formatCode>
                <c:ptCount val="4"/>
                <c:pt idx="0">
                  <c:v>34</c:v>
                </c:pt>
                <c:pt idx="1">
                  <c:v>55</c:v>
                </c:pt>
                <c:pt idx="2">
                  <c:v>51</c:v>
                </c:pt>
                <c:pt idx="3">
                  <c:v>47</c:v>
                </c:pt>
              </c:numCache>
            </c:numRef>
          </c:val>
        </c:ser>
        <c:dLbls>
          <c:showLegendKey val="0"/>
          <c:showVal val="0"/>
          <c:showCatName val="0"/>
          <c:showSerName val="0"/>
          <c:showPercent val="0"/>
          <c:showBubbleSize val="0"/>
        </c:dLbls>
        <c:gapWidth val="150"/>
        <c:shape val="box"/>
        <c:axId val="1648309680"/>
        <c:axId val="1648310768"/>
        <c:axId val="0"/>
      </c:bar3DChart>
      <c:catAx>
        <c:axId val="1648309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0768"/>
        <c:crosses val="autoZero"/>
        <c:auto val="1"/>
        <c:lblAlgn val="ctr"/>
        <c:lblOffset val="100"/>
        <c:noMultiLvlLbl val="0"/>
      </c:catAx>
      <c:valAx>
        <c:axId val="1648310768"/>
        <c:scaling>
          <c:orientation val="minMax"/>
        </c:scaling>
        <c:delete val="1"/>
        <c:axPos val="l"/>
        <c:numFmt formatCode="General" sourceLinked="1"/>
        <c:majorTickMark val="none"/>
        <c:minorTickMark val="none"/>
        <c:tickLblPos val="nextTo"/>
        <c:crossAx val="164830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Tweet impressions Q1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Sheet5!$A$4:$A$7</c:f>
              <c:strCache>
                <c:ptCount val="4"/>
                <c:pt idx="0">
                  <c:v>April</c:v>
                </c:pt>
                <c:pt idx="1">
                  <c:v>May</c:v>
                </c:pt>
                <c:pt idx="2">
                  <c:v>June</c:v>
                </c:pt>
                <c:pt idx="3">
                  <c:v>AVG</c:v>
                </c:pt>
              </c:strCache>
            </c:strRef>
          </c:cat>
          <c:val>
            <c:numRef>
              <c:f>Sheet5!$B$4:$B$7</c:f>
              <c:numCache>
                <c:formatCode>General</c:formatCode>
                <c:ptCount val="4"/>
                <c:pt idx="0">
                  <c:v>155000</c:v>
                </c:pt>
                <c:pt idx="1">
                  <c:v>238000</c:v>
                </c:pt>
                <c:pt idx="2">
                  <c:v>239000</c:v>
                </c:pt>
                <c:pt idx="3">
                  <c:v>211000</c:v>
                </c:pt>
              </c:numCache>
            </c:numRef>
          </c:val>
        </c:ser>
        <c:dLbls>
          <c:showLegendKey val="0"/>
          <c:showVal val="1"/>
          <c:showCatName val="0"/>
          <c:showSerName val="0"/>
          <c:showPercent val="0"/>
          <c:showBubbleSize val="0"/>
        </c:dLbls>
        <c:gapWidth val="150"/>
        <c:shape val="box"/>
        <c:axId val="1648315120"/>
        <c:axId val="1648311312"/>
        <c:axId val="0"/>
      </c:bar3DChart>
      <c:catAx>
        <c:axId val="1648315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1312"/>
        <c:crosses val="autoZero"/>
        <c:auto val="1"/>
        <c:lblAlgn val="ctr"/>
        <c:lblOffset val="100"/>
        <c:noMultiLvlLbl val="0"/>
      </c:catAx>
      <c:valAx>
        <c:axId val="1648311312"/>
        <c:scaling>
          <c:orientation val="minMax"/>
        </c:scaling>
        <c:delete val="1"/>
        <c:axPos val="l"/>
        <c:numFmt formatCode="General" sourceLinked="1"/>
        <c:majorTickMark val="none"/>
        <c:minorTickMark val="none"/>
        <c:tickLblPos val="nextTo"/>
        <c:crossAx val="1648315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Core</a:t>
            </a:r>
            <a:r>
              <a:rPr lang="en-GB" baseline="0"/>
              <a:t> Services per month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22263888888888889"/>
          <c:w val="0.87122462817147861"/>
          <c:h val="0.66070246427529888"/>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month'!$E$33:$E$35</c:f>
              <c:strCache>
                <c:ptCount val="3"/>
                <c:pt idx="0">
                  <c:v>Apr</c:v>
                </c:pt>
                <c:pt idx="1">
                  <c:v>May</c:v>
                </c:pt>
                <c:pt idx="2">
                  <c:v>Jun</c:v>
                </c:pt>
              </c:strCache>
            </c:strRef>
          </c:cat>
          <c:val>
            <c:numRef>
              <c:f>'Staff time per month'!$F$33:$F$35</c:f>
              <c:numCache>
                <c:formatCode>0.0</c:formatCode>
                <c:ptCount val="3"/>
                <c:pt idx="0">
                  <c:v>377.3</c:v>
                </c:pt>
                <c:pt idx="1">
                  <c:v>417.4</c:v>
                </c:pt>
                <c:pt idx="2">
                  <c:v>406.2</c:v>
                </c:pt>
              </c:numCache>
            </c:numRef>
          </c:val>
          <c:smooth val="0"/>
        </c:ser>
        <c:dLbls>
          <c:dLblPos val="t"/>
          <c:showLegendKey val="0"/>
          <c:showVal val="1"/>
          <c:showCatName val="0"/>
          <c:showSerName val="0"/>
          <c:showPercent val="0"/>
          <c:showBubbleSize val="0"/>
        </c:dLbls>
        <c:marker val="1"/>
        <c:smooth val="0"/>
        <c:axId val="1648319472"/>
        <c:axId val="1648304240"/>
      </c:lineChart>
      <c:catAx>
        <c:axId val="164831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4240"/>
        <c:crosses val="autoZero"/>
        <c:auto val="1"/>
        <c:lblAlgn val="ctr"/>
        <c:lblOffset val="100"/>
        <c:noMultiLvlLbl val="0"/>
      </c:catAx>
      <c:valAx>
        <c:axId val="164830424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4831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t>Proportion</a:t>
            </a:r>
            <a:r>
              <a:rPr lang="en-GB" sz="1400" baseline="0"/>
              <a:t> of all time spent in the organisation that was attributed to working on </a:t>
            </a:r>
            <a:r>
              <a:rPr lang="en-GB" sz="1400"/>
              <a:t>Core Services </a:t>
            </a:r>
            <a:r>
              <a:rPr lang="en-GB" sz="1400" b="0" i="0" baseline="0">
                <a:effectLst/>
              </a:rPr>
              <a:t>per quarter</a:t>
            </a: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quarter'!$A$14</c:f>
              <c:strCache>
                <c:ptCount val="1"/>
                <c:pt idx="0">
                  <c:v>Core Services</c:v>
                </c:pt>
              </c:strCache>
            </c:strRef>
          </c:tx>
          <c:spPr>
            <a:solidFill>
              <a:schemeClr val="accent1"/>
            </a:solidFill>
            <a:ln>
              <a:noFill/>
            </a:ln>
            <a:effectLst/>
          </c:spPr>
          <c:invertIfNegative val="0"/>
          <c:dLbls>
            <c:dLbl>
              <c:idx val="0"/>
              <c:tx>
                <c:rich>
                  <a:bodyPr/>
                  <a:lstStyle/>
                  <a:p>
                    <a:fld id="{58B18C06-0ACA-4860-8BAD-9311346BF026}" type="VALUE">
                      <a:rPr lang="en-US"/>
                      <a:pPr/>
                      <a:t>[VALUE]</a:t>
                    </a:fld>
                    <a:endParaRPr lang="en-US"/>
                  </a:p>
                  <a:p>
                    <a:r>
                      <a:rPr lang="en-US"/>
                      <a:t>(1200.9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39A3AE9-AC1A-4A00-AAA8-0E2C12E34810}" type="VALUE">
                      <a:rPr lang="en-US"/>
                      <a:pPr/>
                      <a:t>[VALUE]</a:t>
                    </a:fld>
                    <a:endParaRPr lang="en-US"/>
                  </a:p>
                  <a:p>
                    <a:r>
                      <a:rPr lang="en-US"/>
                      <a:t>(8232.5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4B05A36-49A6-4067-B856-98FE9FA07AEE}" type="VALUE">
                      <a:rPr lang="en-US"/>
                      <a:pPr/>
                      <a:t>[VALUE]</a:t>
                    </a:fld>
                    <a:endParaRPr lang="en-US"/>
                  </a:p>
                  <a:p>
                    <a:r>
                      <a:rPr lang="en-US"/>
                      <a:t>(1156.9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83DC476E-71C8-4CE3-BE5F-498574D3B2F9}" type="VALUE">
                      <a:rPr lang="en-US"/>
                      <a:pPr/>
                      <a:t>[VALUE]</a:t>
                    </a:fld>
                    <a:endParaRPr lang="en-US"/>
                  </a:p>
                  <a:p>
                    <a:r>
                      <a:rPr lang="en-US"/>
                      <a:t>(1130.2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DBA2FA50-3EB9-40A8-9F8E-A821019C7234}" type="VALUE">
                      <a:rPr lang="en-US"/>
                      <a:pPr/>
                      <a:t>[VALUE]</a:t>
                    </a:fld>
                    <a:endParaRPr lang="en-US"/>
                  </a:p>
                  <a:p>
                    <a:r>
                      <a:rPr lang="en-US"/>
                      <a:t>(5221.9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1169C67-BD07-4440-9AF5-B80610F69DC3}" type="VALUE">
                      <a:rPr lang="en-US"/>
                      <a:pPr/>
                      <a:t>[VALUE]</a:t>
                    </a:fld>
                    <a:endParaRPr lang="en-US"/>
                  </a:p>
                  <a:p>
                    <a:r>
                      <a:rPr lang="en-US"/>
                      <a:t>(7356.5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quarter'!$B$13,'% per quarter'!$G$13)</c:f>
              <c:strCache>
                <c:ptCount val="2"/>
                <c:pt idx="0">
                  <c:v>Cumulative Q1</c:v>
                </c:pt>
                <c:pt idx="1">
                  <c:v>Total planned 2019/20</c:v>
                </c:pt>
              </c:strCache>
            </c:strRef>
          </c:cat>
          <c:val>
            <c:numRef>
              <c:f>('% per quarter'!$B$14,'% per quarter'!$G$14)</c:f>
              <c:numCache>
                <c:formatCode>0.0%</c:formatCode>
                <c:ptCount val="2"/>
                <c:pt idx="0">
                  <c:v>0.16300000000000001</c:v>
                </c:pt>
                <c:pt idx="1">
                  <c:v>0.25729999999999997</c:v>
                </c:pt>
              </c:numCache>
            </c:numRef>
          </c:val>
        </c:ser>
        <c:dLbls>
          <c:dLblPos val="outEnd"/>
          <c:showLegendKey val="0"/>
          <c:showVal val="1"/>
          <c:showCatName val="0"/>
          <c:showSerName val="0"/>
          <c:showPercent val="0"/>
          <c:showBubbleSize val="0"/>
        </c:dLbls>
        <c:gapWidth val="219"/>
        <c:overlap val="-27"/>
        <c:axId val="1648305328"/>
        <c:axId val="1648312944"/>
      </c:barChart>
      <c:catAx>
        <c:axId val="164830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2944"/>
        <c:crosses val="autoZero"/>
        <c:auto val="1"/>
        <c:lblAlgn val="ctr"/>
        <c:lblOffset val="100"/>
        <c:noMultiLvlLbl val="0"/>
      </c:catAx>
      <c:valAx>
        <c:axId val="1648312944"/>
        <c:scaling>
          <c:orientation val="minMax"/>
        </c:scaling>
        <c:delete val="1"/>
        <c:axPos val="l"/>
        <c:numFmt formatCode="0.0%" sourceLinked="1"/>
        <c:majorTickMark val="none"/>
        <c:minorTickMark val="none"/>
        <c:tickLblPos val="nextTo"/>
        <c:crossAx val="164830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a:t>
            </a:r>
            <a:r>
              <a:rPr lang="en-GB" baseline="0"/>
              <a:t> in 5 Core Services </a:t>
            </a:r>
            <a:r>
              <a:rPr lang="en-GB"/>
              <a:t>Corporate</a:t>
            </a:r>
            <a:r>
              <a:rPr lang="en-GB" baseline="0"/>
              <a:t> Outputs per month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20412037037037037"/>
          <c:w val="0.87122462817147861"/>
          <c:h val="0.67922098279381737"/>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month'!$I$3:$I$5</c:f>
              <c:strCache>
                <c:ptCount val="3"/>
                <c:pt idx="0">
                  <c:v>Apr</c:v>
                </c:pt>
                <c:pt idx="1">
                  <c:v>May</c:v>
                </c:pt>
                <c:pt idx="2">
                  <c:v>Jun</c:v>
                </c:pt>
              </c:strCache>
            </c:strRef>
          </c:cat>
          <c:val>
            <c:numRef>
              <c:f>'Staff time per month'!$J$3:$J$5</c:f>
              <c:numCache>
                <c:formatCode>0.0</c:formatCode>
                <c:ptCount val="3"/>
                <c:pt idx="0">
                  <c:v>674.1</c:v>
                </c:pt>
                <c:pt idx="1">
                  <c:v>682.2</c:v>
                </c:pt>
                <c:pt idx="2">
                  <c:v>610.4</c:v>
                </c:pt>
              </c:numCache>
            </c:numRef>
          </c:val>
          <c:smooth val="0"/>
        </c:ser>
        <c:dLbls>
          <c:dLblPos val="t"/>
          <c:showLegendKey val="0"/>
          <c:showVal val="1"/>
          <c:showCatName val="0"/>
          <c:showSerName val="0"/>
          <c:showPercent val="0"/>
          <c:showBubbleSize val="0"/>
        </c:dLbls>
        <c:marker val="1"/>
        <c:smooth val="0"/>
        <c:axId val="1648314032"/>
        <c:axId val="1648315664"/>
      </c:lineChart>
      <c:catAx>
        <c:axId val="164831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5664"/>
        <c:crosses val="autoZero"/>
        <c:auto val="1"/>
        <c:lblAlgn val="ctr"/>
        <c:lblOffset val="100"/>
        <c:noMultiLvlLbl val="0"/>
      </c:catAx>
      <c:valAx>
        <c:axId val="164831566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4831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
            </a:r>
            <a:r>
              <a:rPr lang="en-GB" baseline="0"/>
              <a:t> actual staff time compared to total planned for 2019/20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strRef>
              <c:f>'Staff time per month'!$U$113</c:f>
              <c:strCache>
                <c:ptCount val="1"/>
                <c:pt idx="0">
                  <c:v>% Planned</c:v>
                </c:pt>
              </c:strCache>
            </c:strRef>
          </c:tx>
          <c:spPr>
            <a:solidFill>
              <a:srgbClr val="0070C0"/>
            </a:solidFill>
            <a:ln>
              <a:noFill/>
            </a:ln>
            <a:effectLst/>
          </c:spPr>
          <c:invertIfNegative val="0"/>
          <c:dLbls>
            <c:dLbl>
              <c:idx val="0"/>
              <c:layout>
                <c:manualLayout>
                  <c:x val="-1.1260414553491757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0083316427934153E-3"/>
                  <c:y val="7.740271433644542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5612006756142387E-3"/>
                  <c:y val="-9.4456001651086839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5612006756142387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3741337837428255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5612006756142387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5612006756142387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month'!$A$114:$A$125</c:f>
              <c:strCache>
                <c:ptCount val="7"/>
                <c:pt idx="0">
                  <c:v>SP1</c:v>
                </c:pt>
                <c:pt idx="1">
                  <c:v>SP2</c:v>
                </c:pt>
                <c:pt idx="2">
                  <c:v>SP3</c:v>
                </c:pt>
                <c:pt idx="3">
                  <c:v>SP4</c:v>
                </c:pt>
                <c:pt idx="4">
                  <c:v>SP5</c:v>
                </c:pt>
                <c:pt idx="5">
                  <c:v>SCP</c:v>
                </c:pt>
                <c:pt idx="6">
                  <c:v>Core Services</c:v>
                </c:pt>
              </c:strCache>
              <c:extLst/>
            </c:strRef>
          </c:cat>
          <c:val>
            <c:numRef>
              <c:f>'Staff time per month'!$U$114:$U$125</c:f>
              <c:numCache>
                <c:formatCode>0.0</c:formatCode>
                <c:ptCount val="7"/>
                <c:pt idx="0">
                  <c:v>21.054687622077566</c:v>
                </c:pt>
                <c:pt idx="1">
                  <c:v>6.0050440494904382</c:v>
                </c:pt>
                <c:pt idx="2">
                  <c:v>15.689994093399296</c:v>
                </c:pt>
                <c:pt idx="3">
                  <c:v>7.1535497420159331</c:v>
                </c:pt>
                <c:pt idx="4">
                  <c:v>11.077220209949965</c:v>
                </c:pt>
                <c:pt idx="5">
                  <c:v>13.291414177716804</c:v>
                </c:pt>
                <c:pt idx="6">
                  <c:v>25.728090105350006</c:v>
                </c:pt>
              </c:numCache>
              <c:extLst/>
            </c:numRef>
          </c:val>
          <c:extLst/>
        </c:ser>
        <c:ser>
          <c:idx val="0"/>
          <c:order val="1"/>
          <c:tx>
            <c:strRef>
              <c:f>'Staff time per month'!$V$113</c:f>
              <c:strCache>
                <c:ptCount val="1"/>
                <c:pt idx="0">
                  <c:v>% Cumulative Q1</c:v>
                </c:pt>
              </c:strCache>
            </c:strRef>
          </c:tx>
          <c:spPr>
            <a:solidFill>
              <a:srgbClr val="C00000"/>
            </a:solidFill>
            <a:ln>
              <a:noFill/>
            </a:ln>
            <a:effectLst/>
          </c:spPr>
          <c:invertIfNegative val="0"/>
          <c:dLbls>
            <c:dLbl>
              <c:idx val="0"/>
              <c:layout>
                <c:manualLayout>
                  <c:x val="1.3122401351228477E-2"/>
                  <c:y val="-4.72280008255434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870668918714128E-3"/>
                  <c:y val="7.728307593944576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748267567485651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5612006756142387E-3"/>
                  <c:y val="-9.4456001651086839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741337837428654E-3"/>
                  <c:y val="2.5761025313147646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122401351228477E-2"/>
                  <c:y val="2.576102531314859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870668918714128E-3"/>
                  <c:y val="2.5761025313148591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3741337837428255E-3"/>
                  <c:y val="2.576102531314859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month'!$A$114:$A$125</c:f>
              <c:strCache>
                <c:ptCount val="7"/>
                <c:pt idx="0">
                  <c:v>SP1</c:v>
                </c:pt>
                <c:pt idx="1">
                  <c:v>SP2</c:v>
                </c:pt>
                <c:pt idx="2">
                  <c:v>SP3</c:v>
                </c:pt>
                <c:pt idx="3">
                  <c:v>SP4</c:v>
                </c:pt>
                <c:pt idx="4">
                  <c:v>SP5</c:v>
                </c:pt>
                <c:pt idx="5">
                  <c:v>SCP</c:v>
                </c:pt>
                <c:pt idx="6">
                  <c:v>Core Services</c:v>
                </c:pt>
              </c:strCache>
              <c:extLst/>
            </c:strRef>
          </c:cat>
          <c:val>
            <c:numRef>
              <c:f>'Staff time per month'!$V$114:$V$125</c:f>
              <c:numCache>
                <c:formatCode>0.0</c:formatCode>
                <c:ptCount val="7"/>
                <c:pt idx="0">
                  <c:v>14.578151123435143</c:v>
                </c:pt>
                <c:pt idx="1">
                  <c:v>3.9581889110902693</c:v>
                </c:pt>
                <c:pt idx="2">
                  <c:v>12.480800337098508</c:v>
                </c:pt>
                <c:pt idx="3">
                  <c:v>5.627370223871468</c:v>
                </c:pt>
                <c:pt idx="4">
                  <c:v>7.8688034362299364</c:v>
                </c:pt>
                <c:pt idx="5">
                  <c:v>12.430507414807867</c:v>
                </c:pt>
                <c:pt idx="6">
                  <c:v>16.323451453737309</c:v>
                </c:pt>
              </c:numCache>
              <c:extLst/>
            </c:numRef>
          </c:val>
          <c:extLst/>
        </c:ser>
        <c:dLbls>
          <c:showLegendKey val="0"/>
          <c:showVal val="0"/>
          <c:showCatName val="0"/>
          <c:showSerName val="0"/>
          <c:showPercent val="0"/>
          <c:showBubbleSize val="0"/>
        </c:dLbls>
        <c:gapWidth val="219"/>
        <c:overlap val="-27"/>
        <c:axId val="1648316208"/>
        <c:axId val="1648307504"/>
      </c:barChart>
      <c:catAx>
        <c:axId val="164831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7504"/>
        <c:crosses val="autoZero"/>
        <c:auto val="1"/>
        <c:lblAlgn val="ctr"/>
        <c:lblOffset val="100"/>
        <c:noMultiLvlLbl val="0"/>
      </c:catAx>
      <c:valAx>
        <c:axId val="1648307504"/>
        <c:scaling>
          <c:orientation val="minMax"/>
        </c:scaling>
        <c:delete val="1"/>
        <c:axPos val="l"/>
        <c:numFmt formatCode="0.0" sourceLinked="1"/>
        <c:majorTickMark val="none"/>
        <c:minorTickMark val="none"/>
        <c:tickLblPos val="nextTo"/>
        <c:crossAx val="164831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Monthly Turnover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12700" cap="rnd">
              <a:solidFill>
                <a:schemeClr val="tx1"/>
              </a:solidFill>
              <a:round/>
            </a:ln>
            <a:effectLst/>
          </c:spPr>
          <c:marker>
            <c:symbol val="circle"/>
            <c:size val="5"/>
            <c:spPr>
              <a:solidFill>
                <a:schemeClr val="tx1"/>
              </a:solidFill>
              <a:ln w="9525">
                <a:solidFill>
                  <a:schemeClr val="tx1"/>
                </a:solidFill>
              </a:ln>
              <a:effectLst/>
            </c:spPr>
          </c:marker>
          <c:dPt>
            <c:idx val="11"/>
            <c:marker>
              <c:symbol val="circle"/>
              <c:size val="5"/>
              <c:spPr>
                <a:solidFill>
                  <a:schemeClr val="bg1"/>
                </a:solidFill>
                <a:ln w="9525">
                  <a:solidFill>
                    <a:schemeClr val="tx1"/>
                  </a:solidFill>
                </a:ln>
                <a:effectLst/>
              </c:spPr>
            </c:marker>
            <c:bubble3D val="0"/>
          </c:dPt>
          <c:dPt>
            <c:idx val="23"/>
            <c:marker>
              <c:symbol val="circle"/>
              <c:size val="5"/>
              <c:spPr>
                <a:solidFill>
                  <a:schemeClr val="bg1"/>
                </a:solidFill>
                <a:ln w="9525">
                  <a:solidFill>
                    <a:schemeClr val="tx1"/>
                  </a:solidFill>
                </a:ln>
                <a:effectLst/>
              </c:spPr>
            </c:marker>
            <c:bubble3D val="0"/>
          </c:dPt>
          <c:dPt>
            <c:idx val="39"/>
            <c:marker>
              <c:symbol val="circle"/>
              <c:size val="5"/>
              <c:spPr>
                <a:solidFill>
                  <a:sysClr val="window" lastClr="FFFFFF"/>
                </a:solidFill>
                <a:ln w="9525">
                  <a:solidFill>
                    <a:schemeClr val="tx1"/>
                  </a:solidFill>
                </a:ln>
                <a:effectLst/>
              </c:spPr>
            </c:marker>
            <c:bubble3D val="0"/>
          </c:dPt>
          <c:dPt>
            <c:idx val="40"/>
            <c:marker>
              <c:symbol val="circle"/>
              <c:size val="5"/>
              <c:spPr>
                <a:solidFill>
                  <a:schemeClr val="bg1"/>
                </a:solidFill>
                <a:ln w="9525">
                  <a:solidFill>
                    <a:schemeClr val="tx1"/>
                  </a:solidFill>
                </a:ln>
                <a:effectLst/>
              </c:spPr>
            </c:marker>
            <c:bubble3D val="0"/>
          </c:dPt>
          <c:dPt>
            <c:idx val="41"/>
            <c:marker>
              <c:symbol val="circle"/>
              <c:size val="5"/>
              <c:spPr>
                <a:solidFill>
                  <a:schemeClr val="bg1"/>
                </a:solidFill>
                <a:ln w="9525">
                  <a:solidFill>
                    <a:schemeClr val="tx1"/>
                  </a:solidFill>
                </a:ln>
                <a:effectLst/>
              </c:spPr>
            </c:marker>
            <c:bubble3D val="0"/>
          </c:dPt>
          <c:dPt>
            <c:idx val="42"/>
            <c:marker>
              <c:symbol val="circle"/>
              <c:size val="5"/>
              <c:spPr>
                <a:solidFill>
                  <a:schemeClr val="bg1"/>
                </a:solidFill>
                <a:ln w="9525">
                  <a:solidFill>
                    <a:schemeClr val="tx1"/>
                  </a:solidFill>
                </a:ln>
                <a:effectLst/>
              </c:spPr>
            </c:marker>
            <c:bubble3D val="0"/>
          </c:dPt>
          <c:dPt>
            <c:idx val="43"/>
            <c:marker>
              <c:symbol val="circle"/>
              <c:size val="5"/>
              <c:spPr>
                <a:solidFill>
                  <a:schemeClr val="bg1"/>
                </a:solidFill>
                <a:ln w="9525">
                  <a:solidFill>
                    <a:schemeClr val="tx1"/>
                  </a:solidFill>
                </a:ln>
                <a:effectLst/>
              </c:spPr>
            </c:marker>
            <c:bubble3D val="0"/>
          </c:dPt>
          <c:dPt>
            <c:idx val="44"/>
            <c:marker>
              <c:symbol val="circle"/>
              <c:size val="5"/>
              <c:spPr>
                <a:solidFill>
                  <a:schemeClr val="bg1"/>
                </a:solidFill>
                <a:ln w="9525">
                  <a:solidFill>
                    <a:schemeClr val="tx1"/>
                  </a:solidFill>
                </a:ln>
                <a:effectLst/>
              </c:spPr>
            </c:marker>
            <c:bubble3D val="0"/>
          </c:dPt>
          <c:dPt>
            <c:idx val="54"/>
            <c:marker>
              <c:symbol val="circle"/>
              <c:size val="5"/>
              <c:spPr>
                <a:solidFill>
                  <a:schemeClr val="bg1"/>
                </a:solidFill>
                <a:ln w="9525">
                  <a:solidFill>
                    <a:schemeClr val="tx1"/>
                  </a:solidFill>
                </a:ln>
                <a:effectLst/>
              </c:spPr>
            </c:marker>
            <c:bubble3D val="0"/>
          </c:dPt>
          <c:dPt>
            <c:idx val="55"/>
            <c:marker>
              <c:symbol val="circle"/>
              <c:size val="5"/>
              <c:spPr>
                <a:solidFill>
                  <a:sysClr val="window" lastClr="FFFFFF"/>
                </a:solidFill>
                <a:ln w="9525">
                  <a:solidFill>
                    <a:schemeClr val="tx1"/>
                  </a:solidFill>
                </a:ln>
                <a:effectLst/>
              </c:spPr>
            </c:marker>
            <c:bubble3D val="0"/>
          </c:dPt>
          <c:dPt>
            <c:idx val="56"/>
            <c:marker>
              <c:symbol val="circle"/>
              <c:size val="5"/>
              <c:spPr>
                <a:solidFill>
                  <a:schemeClr val="bg1"/>
                </a:solidFill>
                <a:ln w="9525">
                  <a:solidFill>
                    <a:schemeClr val="tx1"/>
                  </a:solidFill>
                </a:ln>
                <a:effectLst/>
              </c:spPr>
            </c:marker>
            <c:bubble3D val="0"/>
          </c:dPt>
          <c:dPt>
            <c:idx val="57"/>
            <c:marker>
              <c:symbol val="circle"/>
              <c:size val="5"/>
              <c:spPr>
                <a:solidFill>
                  <a:schemeClr val="bg1"/>
                </a:solidFill>
                <a:ln w="9525">
                  <a:solidFill>
                    <a:schemeClr val="tx1"/>
                  </a:solidFill>
                </a:ln>
                <a:effectLst/>
              </c:spPr>
            </c:marker>
            <c:bubble3D val="0"/>
          </c:dPt>
          <c:dPt>
            <c:idx val="58"/>
            <c:marker>
              <c:symbol val="circle"/>
              <c:size val="5"/>
              <c:spPr>
                <a:solidFill>
                  <a:sysClr val="window" lastClr="FFFFFF"/>
                </a:solidFill>
                <a:ln w="9525">
                  <a:solidFill>
                    <a:schemeClr val="tx1"/>
                  </a:solidFill>
                </a:ln>
                <a:effectLst/>
              </c:spPr>
            </c:marker>
            <c:bubble3D val="0"/>
          </c:dPt>
          <c:dPt>
            <c:idx val="59"/>
            <c:marker>
              <c:symbol val="circle"/>
              <c:size val="5"/>
              <c:spPr>
                <a:solidFill>
                  <a:schemeClr val="bg1"/>
                </a:solidFill>
                <a:ln w="9525">
                  <a:solidFill>
                    <a:schemeClr val="tx1"/>
                  </a:solidFill>
                </a:ln>
                <a:effectLst/>
              </c:spPr>
            </c:marker>
            <c:bubble3D val="0"/>
          </c:dPt>
          <c:dLbls>
            <c:dLbl>
              <c:idx val="11"/>
              <c:tx>
                <c:rich>
                  <a:bodyPr/>
                  <a:lstStyle/>
                  <a:p>
                    <a:r>
                      <a:rPr lang="en-US"/>
                      <a:t>Mar-14</a:t>
                    </a:r>
                    <a:r>
                      <a:rPr lang="en-US" baseline="0"/>
                      <a:t>: voluntary severance scheme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3"/>
              <c:tx>
                <c:rich>
                  <a:bodyPr/>
                  <a:lstStyle/>
                  <a:p>
                    <a:r>
                      <a:rPr lang="en-US"/>
                      <a:t>Mar-15: voluntary severance scheme</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Monthly Turnover'!$A$2:$A$100</c:f>
              <c:numCache>
                <c:formatCode>mmm\-yy</c:formatCode>
                <c:ptCount val="75"/>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pt idx="72">
                  <c:v>43556</c:v>
                </c:pt>
                <c:pt idx="73">
                  <c:v>43586</c:v>
                </c:pt>
                <c:pt idx="74">
                  <c:v>43617</c:v>
                </c:pt>
              </c:numCache>
            </c:numRef>
          </c:cat>
          <c:val>
            <c:numRef>
              <c:f>'% Monthly Turnover'!$C$2:$C$100</c:f>
              <c:numCache>
                <c:formatCode>0.00%</c:formatCode>
                <c:ptCount val="75"/>
                <c:pt idx="0">
                  <c:v>9.9000000000000008E-3</c:v>
                </c:pt>
                <c:pt idx="1">
                  <c:v>0.01</c:v>
                </c:pt>
                <c:pt idx="2">
                  <c:v>1.0199999999999997E-2</c:v>
                </c:pt>
                <c:pt idx="3">
                  <c:v>1.7100000000000001E-2</c:v>
                </c:pt>
                <c:pt idx="4">
                  <c:v>2.0499999999999997E-2</c:v>
                </c:pt>
                <c:pt idx="5">
                  <c:v>1.0500000000000009E-2</c:v>
                </c:pt>
                <c:pt idx="6">
                  <c:v>0</c:v>
                </c:pt>
                <c:pt idx="7">
                  <c:v>9.7999999999999893E-3</c:v>
                </c:pt>
                <c:pt idx="8">
                  <c:v>3.4000000000000002E-3</c:v>
                </c:pt>
                <c:pt idx="9">
                  <c:v>1.6500000000000001E-2</c:v>
                </c:pt>
                <c:pt idx="10">
                  <c:v>1.1400000000000007E-2</c:v>
                </c:pt>
                <c:pt idx="11">
                  <c:v>5.5399999999999991E-2</c:v>
                </c:pt>
                <c:pt idx="12">
                  <c:v>1.12E-2</c:v>
                </c:pt>
                <c:pt idx="13">
                  <c:v>3.6000000000000008E-3</c:v>
                </c:pt>
                <c:pt idx="14">
                  <c:v>1.1099999999999999E-2</c:v>
                </c:pt>
                <c:pt idx="15">
                  <c:v>7.1999999999999981E-3</c:v>
                </c:pt>
                <c:pt idx="16">
                  <c:v>3.3000000000000043E-3</c:v>
                </c:pt>
                <c:pt idx="17">
                  <c:v>7.1999999999999981E-3</c:v>
                </c:pt>
                <c:pt idx="18">
                  <c:v>7.1000000000000021E-3</c:v>
                </c:pt>
                <c:pt idx="19">
                  <c:v>1.0999999999999996E-2</c:v>
                </c:pt>
                <c:pt idx="20">
                  <c:v>8.3999999999999977E-3</c:v>
                </c:pt>
                <c:pt idx="21">
                  <c:v>2.8999999999999998E-3</c:v>
                </c:pt>
                <c:pt idx="22">
                  <c:v>1.0800000000000004E-2</c:v>
                </c:pt>
                <c:pt idx="23">
                  <c:v>4.4200000000000003E-2</c:v>
                </c:pt>
                <c:pt idx="24">
                  <c:v>7.4000000000000003E-3</c:v>
                </c:pt>
                <c:pt idx="25">
                  <c:v>1.4700000000000001E-2</c:v>
                </c:pt>
                <c:pt idx="26">
                  <c:v>3.6999999999999984E-3</c:v>
                </c:pt>
                <c:pt idx="27">
                  <c:v>7.4000000000000003E-3</c:v>
                </c:pt>
                <c:pt idx="28">
                  <c:v>1.0799999999999997E-2</c:v>
                </c:pt>
                <c:pt idx="29">
                  <c:v>1.1100000000000006E-2</c:v>
                </c:pt>
                <c:pt idx="30">
                  <c:v>1.4499999999999992E-2</c:v>
                </c:pt>
                <c:pt idx="31">
                  <c:v>3.7000000000000088E-3</c:v>
                </c:pt>
                <c:pt idx="32">
                  <c:v>1.1099999999999999E-2</c:v>
                </c:pt>
                <c:pt idx="33">
                  <c:v>2.63E-2</c:v>
                </c:pt>
                <c:pt idx="34">
                  <c:v>4.3E-3</c:v>
                </c:pt>
                <c:pt idx="35">
                  <c:v>6.7999999999999996E-3</c:v>
                </c:pt>
                <c:pt idx="36">
                  <c:v>7.4999999999999997E-3</c:v>
                </c:pt>
                <c:pt idx="37">
                  <c:v>3.7000000000000002E-3</c:v>
                </c:pt>
                <c:pt idx="38">
                  <c:v>1.1299999999999999E-2</c:v>
                </c:pt>
                <c:pt idx="39">
                  <c:v>7.9000000000000008E-3</c:v>
                </c:pt>
                <c:pt idx="40">
                  <c:v>3.199999999999998E-3</c:v>
                </c:pt>
                <c:pt idx="41">
                  <c:v>3.1000000000000055E-3</c:v>
                </c:pt>
                <c:pt idx="42">
                  <c:v>3.4999999999999962E-3</c:v>
                </c:pt>
                <c:pt idx="43">
                  <c:v>3.5000000000000031E-3</c:v>
                </c:pt>
                <c:pt idx="44">
                  <c:v>-8.000000000000021E-4</c:v>
                </c:pt>
                <c:pt idx="45">
                  <c:v>3.2999999999999974E-3</c:v>
                </c:pt>
                <c:pt idx="46">
                  <c:v>6.8000000000000005E-3</c:v>
                </c:pt>
                <c:pt idx="47">
                  <c:v>3.3000000000000043E-3</c:v>
                </c:pt>
                <c:pt idx="48">
                  <c:v>0</c:v>
                </c:pt>
                <c:pt idx="49">
                  <c:v>1.6500000000000001E-2</c:v>
                </c:pt>
                <c:pt idx="50">
                  <c:v>3.3000000000000008E-3</c:v>
                </c:pt>
                <c:pt idx="51">
                  <c:v>1.3399999999999999E-2</c:v>
                </c:pt>
                <c:pt idx="52">
                  <c:v>6.3E-3</c:v>
                </c:pt>
                <c:pt idx="53">
                  <c:v>0</c:v>
                </c:pt>
                <c:pt idx="54">
                  <c:v>6.6000000000000017E-3</c:v>
                </c:pt>
                <c:pt idx="55">
                  <c:v>1.0099999999999998E-2</c:v>
                </c:pt>
                <c:pt idx="56">
                  <c:v>6.9000000000000034E-3</c:v>
                </c:pt>
                <c:pt idx="57">
                  <c:v>6.3E-3</c:v>
                </c:pt>
                <c:pt idx="58">
                  <c:v>1.6399999999999998E-2</c:v>
                </c:pt>
                <c:pt idx="59">
                  <c:v>1.6500000000000001E-2</c:v>
                </c:pt>
                <c:pt idx="60">
                  <c:v>1.66E-2</c:v>
                </c:pt>
                <c:pt idx="61">
                  <c:v>1.01E-2</c:v>
                </c:pt>
                <c:pt idx="62">
                  <c:v>1.03E-2</c:v>
                </c:pt>
                <c:pt idx="63">
                  <c:v>3.5000000000000001E-3</c:v>
                </c:pt>
                <c:pt idx="64">
                  <c:v>1.7100000000000001E-2</c:v>
                </c:pt>
                <c:pt idx="65">
                  <c:v>3.3E-3</c:v>
                </c:pt>
                <c:pt idx="66">
                  <c:v>3.5000000000000001E-3</c:v>
                </c:pt>
                <c:pt idx="67">
                  <c:v>3.0000000000000001E-3</c:v>
                </c:pt>
                <c:pt idx="68">
                  <c:v>0.01</c:v>
                </c:pt>
                <c:pt idx="69">
                  <c:v>3.0000000000000001E-3</c:v>
                </c:pt>
                <c:pt idx="70">
                  <c:v>6.4999999999999997E-3</c:v>
                </c:pt>
                <c:pt idx="71">
                  <c:v>2.3E-2</c:v>
                </c:pt>
                <c:pt idx="72">
                  <c:v>6.4999999999999997E-3</c:v>
                </c:pt>
                <c:pt idx="73" formatCode="0%">
                  <c:v>0.01</c:v>
                </c:pt>
                <c:pt idx="74">
                  <c:v>3.0000000000000001E-3</c:v>
                </c:pt>
              </c:numCache>
            </c:numRef>
          </c:val>
          <c:smooth val="0"/>
        </c:ser>
        <c:ser>
          <c:idx val="1"/>
          <c:order val="1"/>
          <c:spPr>
            <a:ln w="12700" cap="rnd">
              <a:solidFill>
                <a:schemeClr val="tx1"/>
              </a:solidFill>
              <a:prstDash val="sysDash"/>
              <a:round/>
            </a:ln>
            <a:effectLst/>
          </c:spPr>
          <c:marker>
            <c:symbol val="none"/>
          </c:marker>
          <c:dPt>
            <c:idx val="40"/>
            <c:marker>
              <c:symbol val="none"/>
            </c:marker>
            <c:bubble3D val="0"/>
          </c:dPt>
          <c:dLbls>
            <c:dLbl>
              <c:idx val="36"/>
              <c:layout>
                <c:manualLayout>
                  <c:x val="-9.6648102440190328E-2"/>
                  <c:y val="-0.26446323509617831"/>
                </c:manualLayout>
              </c:layout>
              <c:tx>
                <c:rich>
                  <a:bodyPr/>
                  <a:lstStyle/>
                  <a:p>
                    <a:r>
                      <a:rPr lang="en-US"/>
                      <a:t>Apr-13 to Jun-16,</a:t>
                    </a:r>
                    <a:r>
                      <a:rPr lang="en-US" baseline="0"/>
                      <a:t> </a:t>
                    </a:r>
                  </a:p>
                  <a:p>
                    <a:r>
                      <a:rPr lang="en-US" baseline="0"/>
                      <a:t>median turnover at </a:t>
                    </a:r>
                    <a:fld id="{96E65818-89AD-4769-9567-26993D7E1103}" type="VALUE">
                      <a:rPr lang="en-US"/>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9"/>
              <c:layout>
                <c:manualLayout>
                  <c:x val="-5.0907051001711695E-2"/>
                  <c:y val="-0.17630879490509238"/>
                </c:manualLayout>
              </c:layout>
              <c:tx>
                <c:rich>
                  <a:bodyPr/>
                  <a:lstStyle/>
                  <a:p>
                    <a:fld id="{AD239A44-B40F-4AD8-94DE-88FE1ADF5820}" type="CATEGORYNAME">
                      <a:rPr lang="en-US"/>
                      <a:pPr/>
                      <a:t>[CATEGORY NAME]</a:t>
                    </a:fld>
                    <a:r>
                      <a:rPr lang="en-US" baseline="0"/>
                      <a:t>, turnover shifts down to a new median of </a:t>
                    </a:r>
                    <a:fld id="{0BFF5E84-658F-4281-A89D-7A5622EB704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4"/>
              <c:layout>
                <c:manualLayout>
                  <c:x val="-0.11079844614115379"/>
                  <c:y val="-0.28486930460297855"/>
                </c:manualLayout>
              </c:layout>
              <c:tx>
                <c:rich>
                  <a:bodyPr/>
                  <a:lstStyle/>
                  <a:p>
                    <a:r>
                      <a:rPr lang="en-US"/>
                      <a:t>Oct-17: start</a:t>
                    </a:r>
                    <a:r>
                      <a:rPr lang="en-US" baseline="0"/>
                      <a:t> of an upwards shift in monthly turnover</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Monthly Turnover'!$A$2:$A$100</c:f>
              <c:numCache>
                <c:formatCode>mmm\-yy</c:formatCode>
                <c:ptCount val="75"/>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pt idx="72">
                  <c:v>43556</c:v>
                </c:pt>
                <c:pt idx="73">
                  <c:v>43586</c:v>
                </c:pt>
                <c:pt idx="74">
                  <c:v>43617</c:v>
                </c:pt>
              </c:numCache>
            </c:numRef>
          </c:cat>
          <c:val>
            <c:numRef>
              <c:f>'% Monthly Turnover'!$P$2:$P$100</c:f>
              <c:numCache>
                <c:formatCode>0.00%</c:formatCode>
                <c:ptCount val="75"/>
                <c:pt idx="0">
                  <c:v>9.7999999999999962E-3</c:v>
                </c:pt>
                <c:pt idx="1">
                  <c:v>9.7999999999999962E-3</c:v>
                </c:pt>
                <c:pt idx="2">
                  <c:v>9.7999999999999962E-3</c:v>
                </c:pt>
                <c:pt idx="3">
                  <c:v>9.7999999999999962E-3</c:v>
                </c:pt>
                <c:pt idx="4">
                  <c:v>9.7999999999999962E-3</c:v>
                </c:pt>
                <c:pt idx="5">
                  <c:v>9.7999999999999962E-3</c:v>
                </c:pt>
                <c:pt idx="6">
                  <c:v>9.7999999999999962E-3</c:v>
                </c:pt>
                <c:pt idx="7">
                  <c:v>9.7999999999999962E-3</c:v>
                </c:pt>
                <c:pt idx="8">
                  <c:v>9.7999999999999962E-3</c:v>
                </c:pt>
                <c:pt idx="9">
                  <c:v>9.7999999999999962E-3</c:v>
                </c:pt>
                <c:pt idx="10">
                  <c:v>9.7999999999999962E-3</c:v>
                </c:pt>
                <c:pt idx="11">
                  <c:v>9.7999999999999962E-3</c:v>
                </c:pt>
                <c:pt idx="12">
                  <c:v>9.7999999999999962E-3</c:v>
                </c:pt>
                <c:pt idx="13">
                  <c:v>9.7999999999999962E-3</c:v>
                </c:pt>
                <c:pt idx="14">
                  <c:v>9.7999999999999962E-3</c:v>
                </c:pt>
                <c:pt idx="15">
                  <c:v>9.7999999999999962E-3</c:v>
                </c:pt>
                <c:pt idx="16">
                  <c:v>9.7999999999999962E-3</c:v>
                </c:pt>
                <c:pt idx="17">
                  <c:v>9.7999999999999962E-3</c:v>
                </c:pt>
                <c:pt idx="18">
                  <c:v>9.7999999999999962E-3</c:v>
                </c:pt>
                <c:pt idx="19">
                  <c:v>9.7999999999999962E-3</c:v>
                </c:pt>
                <c:pt idx="20">
                  <c:v>9.7999999999999962E-3</c:v>
                </c:pt>
                <c:pt idx="21">
                  <c:v>9.7999999999999962E-3</c:v>
                </c:pt>
                <c:pt idx="22">
                  <c:v>9.7999999999999962E-3</c:v>
                </c:pt>
                <c:pt idx="23">
                  <c:v>9.7999999999999962E-3</c:v>
                </c:pt>
                <c:pt idx="24">
                  <c:v>9.7999999999999962E-3</c:v>
                </c:pt>
                <c:pt idx="25">
                  <c:v>9.7999999999999962E-3</c:v>
                </c:pt>
                <c:pt idx="26">
                  <c:v>9.7999999999999962E-3</c:v>
                </c:pt>
                <c:pt idx="27">
                  <c:v>9.7999999999999962E-3</c:v>
                </c:pt>
                <c:pt idx="28">
                  <c:v>9.7999999999999962E-3</c:v>
                </c:pt>
                <c:pt idx="29">
                  <c:v>9.7999999999999962E-3</c:v>
                </c:pt>
                <c:pt idx="30">
                  <c:v>9.7999999999999962E-3</c:v>
                </c:pt>
                <c:pt idx="31">
                  <c:v>9.7999999999999962E-3</c:v>
                </c:pt>
                <c:pt idx="32">
                  <c:v>9.7999999999999962E-3</c:v>
                </c:pt>
                <c:pt idx="33">
                  <c:v>9.7999999999999962E-3</c:v>
                </c:pt>
                <c:pt idx="34">
                  <c:v>9.7999999999999962E-3</c:v>
                </c:pt>
                <c:pt idx="35">
                  <c:v>9.7999999999999962E-3</c:v>
                </c:pt>
                <c:pt idx="36">
                  <c:v>9.7999999999999962E-3</c:v>
                </c:pt>
                <c:pt idx="37">
                  <c:v>9.7999999999999962E-3</c:v>
                </c:pt>
                <c:pt idx="38">
                  <c:v>9.7999999999999962E-3</c:v>
                </c:pt>
                <c:pt idx="39">
                  <c:v>3.3000000000000043E-3</c:v>
                </c:pt>
                <c:pt idx="40">
                  <c:v>3.3000000000000043E-3</c:v>
                </c:pt>
                <c:pt idx="41">
                  <c:v>3.3000000000000043E-3</c:v>
                </c:pt>
                <c:pt idx="42">
                  <c:v>3.3000000000000043E-3</c:v>
                </c:pt>
                <c:pt idx="43">
                  <c:v>3.3000000000000043E-3</c:v>
                </c:pt>
                <c:pt idx="44">
                  <c:v>3.3000000000000043E-3</c:v>
                </c:pt>
                <c:pt idx="45">
                  <c:v>3.3000000000000043E-3</c:v>
                </c:pt>
                <c:pt idx="46">
                  <c:v>3.3000000000000043E-3</c:v>
                </c:pt>
                <c:pt idx="47">
                  <c:v>3.3000000000000043E-3</c:v>
                </c:pt>
                <c:pt idx="48">
                  <c:v>3.3000000000000043E-3</c:v>
                </c:pt>
                <c:pt idx="49">
                  <c:v>3.3000000000000043E-3</c:v>
                </c:pt>
                <c:pt idx="50">
                  <c:v>3.3000000000000043E-3</c:v>
                </c:pt>
                <c:pt idx="51">
                  <c:v>3.3000000000000043E-3</c:v>
                </c:pt>
                <c:pt idx="52">
                  <c:v>3.3000000000000043E-3</c:v>
                </c:pt>
                <c:pt idx="53">
                  <c:v>3.3000000000000043E-3</c:v>
                </c:pt>
                <c:pt idx="54">
                  <c:v>1.0099999999999998E-2</c:v>
                </c:pt>
                <c:pt idx="55">
                  <c:v>1.0099999999999998E-2</c:v>
                </c:pt>
                <c:pt idx="56">
                  <c:v>1.0099999999999998E-2</c:v>
                </c:pt>
                <c:pt idx="57">
                  <c:v>1.0099999999999998E-2</c:v>
                </c:pt>
                <c:pt idx="58">
                  <c:v>1.0099999999999998E-2</c:v>
                </c:pt>
                <c:pt idx="59">
                  <c:v>1.0099999999999998E-2</c:v>
                </c:pt>
                <c:pt idx="60">
                  <c:v>1.0099999999999998E-2</c:v>
                </c:pt>
                <c:pt idx="61">
                  <c:v>1.0099999999999998E-2</c:v>
                </c:pt>
                <c:pt idx="62">
                  <c:v>1.0099999999999998E-2</c:v>
                </c:pt>
                <c:pt idx="63">
                  <c:v>1.0099999999999998E-2</c:v>
                </c:pt>
                <c:pt idx="64">
                  <c:v>1.0099999999999998E-2</c:v>
                </c:pt>
                <c:pt idx="65">
                  <c:v>1.0099999999999998E-2</c:v>
                </c:pt>
                <c:pt idx="66">
                  <c:v>1.0099999999999998E-2</c:v>
                </c:pt>
                <c:pt idx="67">
                  <c:v>1.0099999999999998E-2</c:v>
                </c:pt>
                <c:pt idx="68">
                  <c:v>1.0099999999999998E-2</c:v>
                </c:pt>
                <c:pt idx="69">
                  <c:v>1.0099999999999998E-2</c:v>
                </c:pt>
                <c:pt idx="70">
                  <c:v>1.0099999999999998E-2</c:v>
                </c:pt>
                <c:pt idx="71">
                  <c:v>1.0099999999999998E-2</c:v>
                </c:pt>
                <c:pt idx="72">
                  <c:v>9.8499999999999976E-3</c:v>
                </c:pt>
                <c:pt idx="73">
                  <c:v>9.8499999999999976E-3</c:v>
                </c:pt>
              </c:numCache>
            </c:numRef>
          </c:val>
          <c:smooth val="0"/>
        </c:ser>
        <c:dLbls>
          <c:showLegendKey val="0"/>
          <c:showVal val="0"/>
          <c:showCatName val="0"/>
          <c:showSerName val="0"/>
          <c:showPercent val="0"/>
          <c:showBubbleSize val="0"/>
        </c:dLbls>
        <c:marker val="1"/>
        <c:smooth val="0"/>
        <c:axId val="1648308048"/>
        <c:axId val="1648308592"/>
      </c:lineChart>
      <c:dateAx>
        <c:axId val="1648308048"/>
        <c:scaling>
          <c:orientation val="minMax"/>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8592"/>
        <c:crosses val="autoZero"/>
        <c:auto val="1"/>
        <c:lblOffset val="100"/>
        <c:baseTimeUnit val="months"/>
      </c:dateAx>
      <c:valAx>
        <c:axId val="16483085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Sickness Absence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402776929639825E-2"/>
          <c:y val="0.17788971528674388"/>
          <c:w val="0.85891775774597556"/>
          <c:h val="0.63793311807247111"/>
        </c:manualLayout>
      </c:layout>
      <c:lineChart>
        <c:grouping val="standard"/>
        <c:varyColors val="0"/>
        <c:ser>
          <c:idx val="0"/>
          <c:order val="0"/>
          <c:tx>
            <c:v>NHS HS Absence</c:v>
          </c:tx>
          <c:spPr>
            <a:ln w="12700" cap="rnd">
              <a:solidFill>
                <a:schemeClr val="tx1"/>
              </a:solidFill>
              <a:round/>
            </a:ln>
            <a:effectLst/>
          </c:spPr>
          <c:marker>
            <c:symbol val="circle"/>
            <c:size val="5"/>
            <c:spPr>
              <a:solidFill>
                <a:schemeClr val="tx1"/>
              </a:solidFill>
              <a:ln w="12700">
                <a:solidFill>
                  <a:schemeClr val="tx1"/>
                </a:solidFill>
              </a:ln>
              <a:effectLst/>
            </c:spPr>
          </c:marker>
          <c:dPt>
            <c:idx val="41"/>
            <c:marker>
              <c:symbol val="circle"/>
              <c:size val="5"/>
              <c:spPr>
                <a:solidFill>
                  <a:schemeClr val="bg1"/>
                </a:solidFill>
                <a:ln w="12700">
                  <a:solidFill>
                    <a:schemeClr val="tx1"/>
                  </a:solidFill>
                </a:ln>
                <a:effectLst/>
              </c:spPr>
            </c:marker>
            <c:bubble3D val="0"/>
          </c:dPt>
          <c:dPt>
            <c:idx val="42"/>
            <c:marker>
              <c:symbol val="circle"/>
              <c:size val="5"/>
              <c:spPr>
                <a:solidFill>
                  <a:schemeClr val="bg1"/>
                </a:solidFill>
                <a:ln w="12700">
                  <a:solidFill>
                    <a:schemeClr val="tx1"/>
                  </a:solidFill>
                </a:ln>
                <a:effectLst/>
              </c:spPr>
            </c:marker>
            <c:bubble3D val="0"/>
          </c:dPt>
          <c:dPt>
            <c:idx val="43"/>
            <c:marker>
              <c:symbol val="circle"/>
              <c:size val="5"/>
              <c:spPr>
                <a:solidFill>
                  <a:schemeClr val="bg1"/>
                </a:solidFill>
                <a:ln w="12700">
                  <a:solidFill>
                    <a:schemeClr val="tx1"/>
                  </a:solidFill>
                </a:ln>
                <a:effectLst/>
              </c:spPr>
            </c:marker>
            <c:bubble3D val="0"/>
          </c:dPt>
          <c:dPt>
            <c:idx val="44"/>
            <c:marker>
              <c:symbol val="circle"/>
              <c:size val="5"/>
              <c:spPr>
                <a:solidFill>
                  <a:schemeClr val="bg1"/>
                </a:solidFill>
                <a:ln w="12700">
                  <a:solidFill>
                    <a:schemeClr val="tx1"/>
                  </a:solidFill>
                </a:ln>
                <a:effectLst/>
              </c:spPr>
            </c:marker>
            <c:bubble3D val="0"/>
          </c:dPt>
          <c:dPt>
            <c:idx val="45"/>
            <c:marker>
              <c:symbol val="circle"/>
              <c:size val="5"/>
              <c:spPr>
                <a:solidFill>
                  <a:schemeClr val="bg1"/>
                </a:solidFill>
                <a:ln w="12700">
                  <a:solidFill>
                    <a:schemeClr val="tx1"/>
                  </a:solidFill>
                </a:ln>
                <a:effectLst/>
              </c:spPr>
            </c:marker>
            <c:bubble3D val="0"/>
          </c:dPt>
          <c:dPt>
            <c:idx val="46"/>
            <c:marker>
              <c:symbol val="circle"/>
              <c:size val="5"/>
              <c:spPr>
                <a:solidFill>
                  <a:schemeClr val="bg1"/>
                </a:solidFill>
                <a:ln w="12700">
                  <a:solidFill>
                    <a:schemeClr val="tx1"/>
                  </a:solidFill>
                </a:ln>
                <a:effectLst/>
              </c:spPr>
            </c:marker>
            <c:bubble3D val="0"/>
          </c:dPt>
          <c:dPt>
            <c:idx val="47"/>
            <c:marker>
              <c:symbol val="circle"/>
              <c:size val="5"/>
              <c:spPr>
                <a:solidFill>
                  <a:schemeClr val="bg1"/>
                </a:solidFill>
                <a:ln w="12700">
                  <a:solidFill>
                    <a:schemeClr val="tx1"/>
                  </a:solidFill>
                </a:ln>
                <a:effectLst/>
              </c:spPr>
            </c:marker>
            <c:bubble3D val="0"/>
          </c:dPt>
          <c:dPt>
            <c:idx val="48"/>
            <c:marker>
              <c:symbol val="circle"/>
              <c:size val="5"/>
              <c:spPr>
                <a:solidFill>
                  <a:schemeClr val="bg1"/>
                </a:solidFill>
                <a:ln w="12700">
                  <a:solidFill>
                    <a:schemeClr val="tx1"/>
                  </a:solidFill>
                </a:ln>
                <a:effectLst/>
              </c:spPr>
            </c:marker>
            <c:bubble3D val="0"/>
          </c:dPt>
          <c:dPt>
            <c:idx val="56"/>
            <c:marker>
              <c:symbol val="circle"/>
              <c:size val="5"/>
              <c:spPr>
                <a:solidFill>
                  <a:schemeClr val="bg1"/>
                </a:solidFill>
                <a:ln w="12700">
                  <a:solidFill>
                    <a:schemeClr val="tx1"/>
                  </a:solidFill>
                </a:ln>
                <a:effectLst/>
              </c:spPr>
            </c:marker>
            <c:bubble3D val="0"/>
          </c:dPt>
          <c:dLbls>
            <c:dLbl>
              <c:idx val="56"/>
              <c:layout>
                <c:manualLayout>
                  <c:x val="-0.13836476616998314"/>
                  <c:y val="-8.1534772182254203E-2"/>
                </c:manualLayout>
              </c:layout>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Sickness Absence'!$A$2:$A$87</c:f>
              <c:numCache>
                <c:formatCode>mmm\-yy</c:formatCode>
                <c:ptCount val="74"/>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pt idx="72">
                  <c:v>43556</c:v>
                </c:pt>
                <c:pt idx="73">
                  <c:v>43586</c:v>
                </c:pt>
              </c:numCache>
              <c:extLst/>
            </c:numRef>
          </c:cat>
          <c:val>
            <c:numRef>
              <c:f>'% Sickness Absence'!$B$2:$B$87</c:f>
              <c:numCache>
                <c:formatCode>0.00%</c:formatCode>
                <c:ptCount val="74"/>
                <c:pt idx="0">
                  <c:v>3.7600000000000001E-2</c:v>
                </c:pt>
                <c:pt idx="1">
                  <c:v>3.7999999999999999E-2</c:v>
                </c:pt>
                <c:pt idx="2">
                  <c:v>2.5499999999999998E-2</c:v>
                </c:pt>
                <c:pt idx="3">
                  <c:v>2.92E-2</c:v>
                </c:pt>
                <c:pt idx="4">
                  <c:v>3.61E-2</c:v>
                </c:pt>
                <c:pt idx="5">
                  <c:v>2.3099999999999999E-2</c:v>
                </c:pt>
                <c:pt idx="6">
                  <c:v>2.5399999999999999E-2</c:v>
                </c:pt>
                <c:pt idx="7">
                  <c:v>3.9699999999999999E-2</c:v>
                </c:pt>
                <c:pt idx="8">
                  <c:v>2.4299999999999999E-2</c:v>
                </c:pt>
                <c:pt idx="9">
                  <c:v>2.75E-2</c:v>
                </c:pt>
                <c:pt idx="10">
                  <c:v>2.7699999999999999E-2</c:v>
                </c:pt>
                <c:pt idx="11">
                  <c:v>3.0300000000000001E-2</c:v>
                </c:pt>
                <c:pt idx="12">
                  <c:v>2.8000000000000001E-2</c:v>
                </c:pt>
                <c:pt idx="13">
                  <c:v>2.2599999999999999E-2</c:v>
                </c:pt>
                <c:pt idx="14">
                  <c:v>2.7400000000000001E-2</c:v>
                </c:pt>
                <c:pt idx="15">
                  <c:v>3.1199999999999999E-2</c:v>
                </c:pt>
                <c:pt idx="16">
                  <c:v>1.9699999999999999E-2</c:v>
                </c:pt>
                <c:pt idx="17">
                  <c:v>3.7699999999999997E-2</c:v>
                </c:pt>
                <c:pt idx="18">
                  <c:v>3.4299999999999997E-2</c:v>
                </c:pt>
                <c:pt idx="19">
                  <c:v>3.15E-2</c:v>
                </c:pt>
                <c:pt idx="20">
                  <c:v>3.9899999999999998E-2</c:v>
                </c:pt>
                <c:pt idx="21">
                  <c:v>3.8800000000000001E-2</c:v>
                </c:pt>
                <c:pt idx="22">
                  <c:v>2.9100000000000001E-2</c:v>
                </c:pt>
                <c:pt idx="23">
                  <c:v>3.6700000000000003E-2</c:v>
                </c:pt>
                <c:pt idx="24">
                  <c:v>4.8500000000000001E-2</c:v>
                </c:pt>
                <c:pt idx="25">
                  <c:v>4.2000000000000003E-2</c:v>
                </c:pt>
                <c:pt idx="26">
                  <c:v>2.5999999999999999E-2</c:v>
                </c:pt>
                <c:pt idx="27">
                  <c:v>2.8000000000000001E-2</c:v>
                </c:pt>
                <c:pt idx="28">
                  <c:v>2.9399999999999999E-2</c:v>
                </c:pt>
                <c:pt idx="29">
                  <c:v>2.4899999999999999E-2</c:v>
                </c:pt>
                <c:pt idx="30">
                  <c:v>2.7099999999999999E-2</c:v>
                </c:pt>
                <c:pt idx="31">
                  <c:v>3.8699999999999998E-2</c:v>
                </c:pt>
                <c:pt idx="32">
                  <c:v>2.5899999999999999E-2</c:v>
                </c:pt>
                <c:pt idx="33">
                  <c:v>3.1600000000000003E-2</c:v>
                </c:pt>
                <c:pt idx="34">
                  <c:v>3.1600000000000003E-2</c:v>
                </c:pt>
                <c:pt idx="35">
                  <c:v>3.6700000000000003E-2</c:v>
                </c:pt>
                <c:pt idx="36">
                  <c:v>3.9E-2</c:v>
                </c:pt>
                <c:pt idx="37">
                  <c:v>4.19E-2</c:v>
                </c:pt>
                <c:pt idx="38">
                  <c:v>3.5999999999999997E-2</c:v>
                </c:pt>
                <c:pt idx="39">
                  <c:v>2.5999999999999999E-2</c:v>
                </c:pt>
                <c:pt idx="40">
                  <c:v>2.87E-2</c:v>
                </c:pt>
                <c:pt idx="41">
                  <c:v>4.07E-2</c:v>
                </c:pt>
                <c:pt idx="42">
                  <c:v>3.8100000000000002E-2</c:v>
                </c:pt>
                <c:pt idx="43">
                  <c:v>3.9399999999999998E-2</c:v>
                </c:pt>
                <c:pt idx="44">
                  <c:v>3.5999999999999997E-2</c:v>
                </c:pt>
                <c:pt idx="45">
                  <c:v>4.58E-2</c:v>
                </c:pt>
                <c:pt idx="46">
                  <c:v>4.2999999999999997E-2</c:v>
                </c:pt>
                <c:pt idx="47">
                  <c:v>4.6399999999999997E-2</c:v>
                </c:pt>
                <c:pt idx="48">
                  <c:v>4.2099999999999999E-2</c:v>
                </c:pt>
                <c:pt idx="49">
                  <c:v>2.5999999999999999E-2</c:v>
                </c:pt>
                <c:pt idx="50">
                  <c:v>2.6800000000000001E-2</c:v>
                </c:pt>
                <c:pt idx="51">
                  <c:v>0.03</c:v>
                </c:pt>
                <c:pt idx="52">
                  <c:v>3.4799999999999998E-2</c:v>
                </c:pt>
                <c:pt idx="53">
                  <c:v>3.04E-2</c:v>
                </c:pt>
                <c:pt idx="54">
                  <c:v>3.1899999999999998E-2</c:v>
                </c:pt>
                <c:pt idx="55">
                  <c:v>3.6799999999999999E-2</c:v>
                </c:pt>
                <c:pt idx="56">
                  <c:v>5.3199999999999997E-2</c:v>
                </c:pt>
                <c:pt idx="57">
                  <c:v>4.8599999999999997E-2</c:v>
                </c:pt>
                <c:pt idx="58">
                  <c:v>3.2599999999999997E-2</c:v>
                </c:pt>
                <c:pt idx="59">
                  <c:v>3.4599999999999999E-2</c:v>
                </c:pt>
                <c:pt idx="60">
                  <c:v>3.3500000000000002E-2</c:v>
                </c:pt>
                <c:pt idx="61">
                  <c:v>3.1699999999999999E-2</c:v>
                </c:pt>
                <c:pt idx="62">
                  <c:v>3.9399999999999998E-2</c:v>
                </c:pt>
                <c:pt idx="63">
                  <c:v>4.19E-2</c:v>
                </c:pt>
                <c:pt idx="64">
                  <c:v>4.3099999999999999E-2</c:v>
                </c:pt>
                <c:pt idx="65">
                  <c:v>4.5100000000000001E-2</c:v>
                </c:pt>
                <c:pt idx="66">
                  <c:v>3.32E-2</c:v>
                </c:pt>
                <c:pt idx="67">
                  <c:v>4.1399999999999999E-2</c:v>
                </c:pt>
                <c:pt idx="68">
                  <c:v>3.7400000000000003E-2</c:v>
                </c:pt>
                <c:pt idx="69">
                  <c:v>2.9899999999999999E-2</c:v>
                </c:pt>
                <c:pt idx="70">
                  <c:v>3.95E-2</c:v>
                </c:pt>
                <c:pt idx="71">
                  <c:v>3.44E-2</c:v>
                </c:pt>
                <c:pt idx="72">
                  <c:v>2.6200000000000001E-2</c:v>
                </c:pt>
                <c:pt idx="73">
                  <c:v>2.0400000000000001E-2</c:v>
                </c:pt>
              </c:numCache>
              <c:extLst/>
            </c:numRef>
          </c:val>
          <c:smooth val="0"/>
        </c:ser>
        <c:ser>
          <c:idx val="1"/>
          <c:order val="1"/>
          <c:tx>
            <c:v>HS Median</c:v>
          </c:tx>
          <c:spPr>
            <a:ln w="12700" cap="rnd">
              <a:solidFill>
                <a:schemeClr val="tx1"/>
              </a:solidFill>
              <a:prstDash val="sysDash"/>
              <a:round/>
            </a:ln>
            <a:effectLst/>
          </c:spPr>
          <c:marker>
            <c:symbol val="none"/>
          </c:marker>
          <c:dLbls>
            <c:dLbl>
              <c:idx val="41"/>
              <c:layout>
                <c:manualLayout>
                  <c:x val="-7.5471690638172564E-2"/>
                  <c:y val="0.22062350119904067"/>
                </c:manualLayout>
              </c:layout>
              <c:tx>
                <c:rich>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rich>
              </c:tx>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59"/>
              <c:tx>
                <c:rich>
                  <a:bodyPr/>
                  <a:lstStyle/>
                  <a:p>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Sickness Absence'!$A$2:$A$87</c:f>
              <c:numCache>
                <c:formatCode>mmm\-yy</c:formatCode>
                <c:ptCount val="74"/>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pt idx="72">
                  <c:v>43556</c:v>
                </c:pt>
                <c:pt idx="73">
                  <c:v>43586</c:v>
                </c:pt>
              </c:numCache>
              <c:extLst/>
            </c:numRef>
          </c:cat>
          <c:val>
            <c:numRef>
              <c:f>'% Sickness Absence'!$U$2:$U$87</c:f>
              <c:numCache>
                <c:formatCode>0.00%</c:formatCode>
                <c:ptCount val="74"/>
                <c:pt idx="0">
                  <c:v>3.32E-2</c:v>
                </c:pt>
                <c:pt idx="1">
                  <c:v>3.32E-2</c:v>
                </c:pt>
                <c:pt idx="2">
                  <c:v>3.32E-2</c:v>
                </c:pt>
                <c:pt idx="3">
                  <c:v>3.32E-2</c:v>
                </c:pt>
                <c:pt idx="4">
                  <c:v>3.32E-2</c:v>
                </c:pt>
                <c:pt idx="5">
                  <c:v>3.32E-2</c:v>
                </c:pt>
                <c:pt idx="6">
                  <c:v>3.32E-2</c:v>
                </c:pt>
                <c:pt idx="7">
                  <c:v>3.32E-2</c:v>
                </c:pt>
                <c:pt idx="8">
                  <c:v>3.32E-2</c:v>
                </c:pt>
                <c:pt idx="9">
                  <c:v>3.32E-2</c:v>
                </c:pt>
                <c:pt idx="10">
                  <c:v>3.32E-2</c:v>
                </c:pt>
                <c:pt idx="11">
                  <c:v>3.32E-2</c:v>
                </c:pt>
                <c:pt idx="12">
                  <c:v>3.32E-2</c:v>
                </c:pt>
                <c:pt idx="13">
                  <c:v>3.32E-2</c:v>
                </c:pt>
                <c:pt idx="14">
                  <c:v>3.32E-2</c:v>
                </c:pt>
                <c:pt idx="15">
                  <c:v>3.32E-2</c:v>
                </c:pt>
                <c:pt idx="16">
                  <c:v>3.32E-2</c:v>
                </c:pt>
                <c:pt idx="17">
                  <c:v>3.32E-2</c:v>
                </c:pt>
                <c:pt idx="18">
                  <c:v>3.32E-2</c:v>
                </c:pt>
                <c:pt idx="19">
                  <c:v>3.32E-2</c:v>
                </c:pt>
                <c:pt idx="20">
                  <c:v>3.32E-2</c:v>
                </c:pt>
                <c:pt idx="21">
                  <c:v>3.32E-2</c:v>
                </c:pt>
                <c:pt idx="22">
                  <c:v>3.32E-2</c:v>
                </c:pt>
                <c:pt idx="23">
                  <c:v>3.32E-2</c:v>
                </c:pt>
                <c:pt idx="24">
                  <c:v>3.32E-2</c:v>
                </c:pt>
                <c:pt idx="25">
                  <c:v>3.32E-2</c:v>
                </c:pt>
                <c:pt idx="26">
                  <c:v>3.32E-2</c:v>
                </c:pt>
                <c:pt idx="27">
                  <c:v>3.32E-2</c:v>
                </c:pt>
                <c:pt idx="28">
                  <c:v>3.32E-2</c:v>
                </c:pt>
                <c:pt idx="29">
                  <c:v>3.32E-2</c:v>
                </c:pt>
                <c:pt idx="30">
                  <c:v>3.32E-2</c:v>
                </c:pt>
                <c:pt idx="31">
                  <c:v>3.32E-2</c:v>
                </c:pt>
                <c:pt idx="32">
                  <c:v>3.32E-2</c:v>
                </c:pt>
                <c:pt idx="33">
                  <c:v>3.32E-2</c:v>
                </c:pt>
                <c:pt idx="34">
                  <c:v>3.32E-2</c:v>
                </c:pt>
                <c:pt idx="35">
                  <c:v>3.32E-2</c:v>
                </c:pt>
                <c:pt idx="36">
                  <c:v>3.32E-2</c:v>
                </c:pt>
                <c:pt idx="37">
                  <c:v>3.32E-2</c:v>
                </c:pt>
                <c:pt idx="38">
                  <c:v>3.32E-2</c:v>
                </c:pt>
                <c:pt idx="39">
                  <c:v>3.32E-2</c:v>
                </c:pt>
                <c:pt idx="40">
                  <c:v>3.32E-2</c:v>
                </c:pt>
                <c:pt idx="41">
                  <c:v>3.32E-2</c:v>
                </c:pt>
                <c:pt idx="42">
                  <c:v>3.32E-2</c:v>
                </c:pt>
                <c:pt idx="43">
                  <c:v>3.32E-2</c:v>
                </c:pt>
                <c:pt idx="44">
                  <c:v>3.32E-2</c:v>
                </c:pt>
                <c:pt idx="45">
                  <c:v>3.32E-2</c:v>
                </c:pt>
                <c:pt idx="46">
                  <c:v>3.32E-2</c:v>
                </c:pt>
                <c:pt idx="47">
                  <c:v>3.32E-2</c:v>
                </c:pt>
                <c:pt idx="48">
                  <c:v>3.32E-2</c:v>
                </c:pt>
                <c:pt idx="49">
                  <c:v>3.32E-2</c:v>
                </c:pt>
                <c:pt idx="50">
                  <c:v>3.32E-2</c:v>
                </c:pt>
                <c:pt idx="51">
                  <c:v>3.32E-2</c:v>
                </c:pt>
                <c:pt idx="52">
                  <c:v>3.32E-2</c:v>
                </c:pt>
                <c:pt idx="53">
                  <c:v>3.32E-2</c:v>
                </c:pt>
                <c:pt idx="54">
                  <c:v>3.32E-2</c:v>
                </c:pt>
                <c:pt idx="55">
                  <c:v>3.32E-2</c:v>
                </c:pt>
                <c:pt idx="56">
                  <c:v>3.32E-2</c:v>
                </c:pt>
                <c:pt idx="57">
                  <c:v>3.32E-2</c:v>
                </c:pt>
                <c:pt idx="58">
                  <c:v>3.32E-2</c:v>
                </c:pt>
                <c:pt idx="59">
                  <c:v>3.32E-2</c:v>
                </c:pt>
                <c:pt idx="60">
                  <c:v>3.32E-2</c:v>
                </c:pt>
                <c:pt idx="61">
                  <c:v>3.32E-2</c:v>
                </c:pt>
                <c:pt idx="62">
                  <c:v>3.32E-2</c:v>
                </c:pt>
                <c:pt idx="63">
                  <c:v>3.32E-2</c:v>
                </c:pt>
                <c:pt idx="64">
                  <c:v>3.32E-2</c:v>
                </c:pt>
                <c:pt idx="65">
                  <c:v>3.32E-2</c:v>
                </c:pt>
                <c:pt idx="66">
                  <c:v>3.32E-2</c:v>
                </c:pt>
                <c:pt idx="67">
                  <c:v>3.32E-2</c:v>
                </c:pt>
                <c:pt idx="68">
                  <c:v>3.32E-2</c:v>
                </c:pt>
                <c:pt idx="69">
                  <c:v>3.32E-2</c:v>
                </c:pt>
                <c:pt idx="70">
                  <c:v>3.32E-2</c:v>
                </c:pt>
                <c:pt idx="71">
                  <c:v>3.32E-2</c:v>
                </c:pt>
                <c:pt idx="72">
                  <c:v>3.32E-2</c:v>
                </c:pt>
                <c:pt idx="73">
                  <c:v>3.32E-2</c:v>
                </c:pt>
              </c:numCache>
              <c:extLst/>
            </c:numRef>
          </c:val>
          <c:smooth val="0"/>
        </c:ser>
        <c:ser>
          <c:idx val="2"/>
          <c:order val="2"/>
          <c:tx>
            <c:v>NHS Scotland Absence</c:v>
          </c:tx>
          <c:spPr>
            <a:ln w="12700" cap="rnd">
              <a:solidFill>
                <a:sysClr val="windowText" lastClr="000000"/>
              </a:solidFill>
              <a:prstDash val="sysDot"/>
              <a:round/>
            </a:ln>
            <a:effectLst/>
          </c:spPr>
          <c:marker>
            <c:symbol val="none"/>
          </c:marker>
          <c:dLbls>
            <c:dLbl>
              <c:idx val="59"/>
              <c:tx>
                <c:rich>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n-US"/>
                  </a:p>
                </c:rich>
              </c:tx>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Sickness Absence'!$A$2:$A$87</c:f>
              <c:numCache>
                <c:formatCode>mmm\-yy</c:formatCode>
                <c:ptCount val="74"/>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pt idx="72">
                  <c:v>43556</c:v>
                </c:pt>
                <c:pt idx="73">
                  <c:v>43586</c:v>
                </c:pt>
              </c:numCache>
              <c:extLst/>
            </c:numRef>
          </c:cat>
          <c:val>
            <c:numRef>
              <c:f>'% Sickness Absence'!$AC$2:$AC$87</c:f>
              <c:numCache>
                <c:formatCode>0.00%</c:formatCode>
                <c:ptCount val="74"/>
                <c:pt idx="0">
                  <c:v>5.1049999999999998E-2</c:v>
                </c:pt>
                <c:pt idx="1">
                  <c:v>5.1049999999999998E-2</c:v>
                </c:pt>
                <c:pt idx="2">
                  <c:v>5.1049999999999998E-2</c:v>
                </c:pt>
                <c:pt idx="3">
                  <c:v>5.1049999999999998E-2</c:v>
                </c:pt>
                <c:pt idx="4">
                  <c:v>5.1049999999999998E-2</c:v>
                </c:pt>
                <c:pt idx="5">
                  <c:v>5.1049999999999998E-2</c:v>
                </c:pt>
                <c:pt idx="6">
                  <c:v>5.1049999999999998E-2</c:v>
                </c:pt>
                <c:pt idx="7">
                  <c:v>5.1049999999999998E-2</c:v>
                </c:pt>
                <c:pt idx="8">
                  <c:v>5.1049999999999998E-2</c:v>
                </c:pt>
                <c:pt idx="9">
                  <c:v>5.1049999999999998E-2</c:v>
                </c:pt>
                <c:pt idx="10">
                  <c:v>5.1049999999999998E-2</c:v>
                </c:pt>
                <c:pt idx="11">
                  <c:v>5.1049999999999998E-2</c:v>
                </c:pt>
                <c:pt idx="12">
                  <c:v>5.1049999999999998E-2</c:v>
                </c:pt>
                <c:pt idx="13">
                  <c:v>5.1049999999999998E-2</c:v>
                </c:pt>
                <c:pt idx="14">
                  <c:v>5.1049999999999998E-2</c:v>
                </c:pt>
                <c:pt idx="15">
                  <c:v>5.1049999999999998E-2</c:v>
                </c:pt>
                <c:pt idx="16">
                  <c:v>5.1049999999999998E-2</c:v>
                </c:pt>
                <c:pt idx="17">
                  <c:v>5.1049999999999998E-2</c:v>
                </c:pt>
                <c:pt idx="18">
                  <c:v>5.1049999999999998E-2</c:v>
                </c:pt>
                <c:pt idx="19">
                  <c:v>5.1049999999999998E-2</c:v>
                </c:pt>
                <c:pt idx="20">
                  <c:v>5.1049999999999998E-2</c:v>
                </c:pt>
                <c:pt idx="21">
                  <c:v>5.1049999999999998E-2</c:v>
                </c:pt>
                <c:pt idx="22">
                  <c:v>5.1049999999999998E-2</c:v>
                </c:pt>
                <c:pt idx="23">
                  <c:v>5.1049999999999998E-2</c:v>
                </c:pt>
                <c:pt idx="24">
                  <c:v>5.1049999999999998E-2</c:v>
                </c:pt>
                <c:pt idx="25">
                  <c:v>5.1049999999999998E-2</c:v>
                </c:pt>
                <c:pt idx="26">
                  <c:v>5.1049999999999998E-2</c:v>
                </c:pt>
                <c:pt idx="27">
                  <c:v>5.1049999999999998E-2</c:v>
                </c:pt>
                <c:pt idx="28">
                  <c:v>5.1049999999999998E-2</c:v>
                </c:pt>
                <c:pt idx="29">
                  <c:v>5.1049999999999998E-2</c:v>
                </c:pt>
                <c:pt idx="30">
                  <c:v>5.1049999999999998E-2</c:v>
                </c:pt>
                <c:pt idx="31">
                  <c:v>5.1049999999999998E-2</c:v>
                </c:pt>
                <c:pt idx="32">
                  <c:v>5.1049999999999998E-2</c:v>
                </c:pt>
                <c:pt idx="33">
                  <c:v>5.1049999999999998E-2</c:v>
                </c:pt>
                <c:pt idx="34">
                  <c:v>5.1049999999999998E-2</c:v>
                </c:pt>
                <c:pt idx="35">
                  <c:v>5.1049999999999998E-2</c:v>
                </c:pt>
                <c:pt idx="36">
                  <c:v>5.1049999999999998E-2</c:v>
                </c:pt>
                <c:pt idx="37">
                  <c:v>5.1049999999999998E-2</c:v>
                </c:pt>
                <c:pt idx="38">
                  <c:v>5.1049999999999998E-2</c:v>
                </c:pt>
                <c:pt idx="39">
                  <c:v>5.1049999999999998E-2</c:v>
                </c:pt>
                <c:pt idx="40">
                  <c:v>5.1049999999999998E-2</c:v>
                </c:pt>
                <c:pt idx="41">
                  <c:v>5.1049999999999998E-2</c:v>
                </c:pt>
                <c:pt idx="42">
                  <c:v>5.1049999999999998E-2</c:v>
                </c:pt>
                <c:pt idx="43">
                  <c:v>5.1049999999999998E-2</c:v>
                </c:pt>
                <c:pt idx="44">
                  <c:v>5.1049999999999998E-2</c:v>
                </c:pt>
                <c:pt idx="45">
                  <c:v>5.1049999999999998E-2</c:v>
                </c:pt>
                <c:pt idx="46">
                  <c:v>5.1049999999999998E-2</c:v>
                </c:pt>
                <c:pt idx="47">
                  <c:v>5.1049999999999998E-2</c:v>
                </c:pt>
                <c:pt idx="48">
                  <c:v>5.1049999999999998E-2</c:v>
                </c:pt>
                <c:pt idx="49">
                  <c:v>5.1049999999999998E-2</c:v>
                </c:pt>
                <c:pt idx="50">
                  <c:v>5.1049999999999998E-2</c:v>
                </c:pt>
                <c:pt idx="51">
                  <c:v>5.1049999999999998E-2</c:v>
                </c:pt>
                <c:pt idx="52">
                  <c:v>5.1049999999999998E-2</c:v>
                </c:pt>
                <c:pt idx="53">
                  <c:v>5.1049999999999998E-2</c:v>
                </c:pt>
                <c:pt idx="54">
                  <c:v>5.1049999999999998E-2</c:v>
                </c:pt>
                <c:pt idx="55">
                  <c:v>5.1049999999999998E-2</c:v>
                </c:pt>
                <c:pt idx="56">
                  <c:v>5.1049999999999998E-2</c:v>
                </c:pt>
                <c:pt idx="57">
                  <c:v>5.1049999999999998E-2</c:v>
                </c:pt>
                <c:pt idx="58">
                  <c:v>5.1049999999999998E-2</c:v>
                </c:pt>
                <c:pt idx="59">
                  <c:v>5.1049999999999998E-2</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numCache>
              <c:extLst/>
            </c:numRef>
          </c:val>
          <c:smooth val="0"/>
        </c:ser>
        <c:dLbls>
          <c:showLegendKey val="0"/>
          <c:showVal val="0"/>
          <c:showCatName val="0"/>
          <c:showSerName val="0"/>
          <c:showPercent val="0"/>
          <c:showBubbleSize val="0"/>
        </c:dLbls>
        <c:marker val="1"/>
        <c:smooth val="0"/>
        <c:axId val="1648309136"/>
        <c:axId val="1648312400"/>
        <c:extLst>
          <c:ext xmlns:c15="http://schemas.microsoft.com/office/drawing/2012/chart" uri="{02D57815-91ED-43cb-92C2-25804820EDAC}">
            <c15:filteredLineSeries>
              <c15:ser>
                <c:idx val="3"/>
                <c:order val="3"/>
                <c:tx>
                  <c:v>HEAT Target</c:v>
                </c:tx>
                <c:spPr>
                  <a:ln w="28575" cap="rnd">
                    <a:solidFill>
                      <a:schemeClr val="accent4"/>
                    </a:solidFill>
                    <a:prstDash val="sysDot"/>
                    <a:round/>
                  </a:ln>
                  <a:effectLst/>
                </c:spPr>
                <c:marker>
                  <c:symbol val="none"/>
                </c:marker>
                <c:cat>
                  <c:numRef>
                    <c:extLst>
                      <c:ext uri="{02D57815-91ED-43cb-92C2-25804820EDAC}">
                        <c15:formulaRef>
                          <c15:sqref>'% Sickness Absence'!$A$2:$A$87</c15:sqref>
                        </c15:formulaRef>
                      </c:ext>
                    </c:extLst>
                    <c:numCache>
                      <c:formatCode>mmm\-yy</c:formatCode>
                      <c:ptCount val="74"/>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pt idx="72">
                        <c:v>43556</c:v>
                      </c:pt>
                      <c:pt idx="73">
                        <c:v>43586</c:v>
                      </c:pt>
                    </c:numCache>
                  </c:numRef>
                </c:cat>
                <c:val>
                  <c:numRef>
                    <c:extLst>
                      <c:ext uri="{02D57815-91ED-43cb-92C2-25804820EDAC}">
                        <c15:formulaRef>
                          <c15:sqref>'% Sickness Absence'!$AD$2:$AD$87</c15:sqref>
                        </c15:formulaRef>
                      </c:ext>
                    </c:extLst>
                    <c:numCache>
                      <c:formatCode>0.00%</c:formatCode>
                      <c:ptCount val="74"/>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numCache>
                  </c:numRef>
                </c:val>
                <c:smooth val="0"/>
              </c15:ser>
            </c15:filteredLineSeries>
          </c:ext>
        </c:extLst>
      </c:lineChart>
      <c:dateAx>
        <c:axId val="164830913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12400"/>
        <c:crosses val="autoZero"/>
        <c:auto val="1"/>
        <c:lblOffset val="100"/>
        <c:baseTimeUnit val="months"/>
        <c:majorUnit val="3"/>
        <c:majorTimeUnit val="months"/>
      </c:dateAx>
      <c:valAx>
        <c:axId val="16483124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30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b="0" i="0" baseline="0">
                <a:effectLst/>
              </a:rPr>
              <a:t>Proportion of all time spent in the organisation that was attributed to working on SP1 per quarter</a:t>
            </a:r>
            <a:endParaRPr lang="en-US"/>
          </a:p>
        </c:rich>
      </c:tx>
      <c:layout>
        <c:manualLayout>
          <c:xMode val="edge"/>
          <c:yMode val="edge"/>
          <c:x val="0.16081933508311461"/>
          <c:y val="2.678571428571428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quarter'!$A$2</c:f>
              <c:strCache>
                <c:ptCount val="1"/>
                <c:pt idx="0">
                  <c:v>SP1</c:v>
                </c:pt>
              </c:strCache>
            </c:strRef>
          </c:tx>
          <c:spPr>
            <a:solidFill>
              <a:schemeClr val="accent1"/>
            </a:solidFill>
            <a:ln>
              <a:noFill/>
            </a:ln>
            <a:effectLst/>
          </c:spPr>
          <c:invertIfNegative val="0"/>
          <c:dLbls>
            <c:dLbl>
              <c:idx val="0"/>
              <c:layout/>
              <c:tx>
                <c:rich>
                  <a:bodyPr/>
                  <a:lstStyle/>
                  <a:p>
                    <a:fld id="{19362051-F5B7-441B-AA84-FC581D61DA6C}" type="VALUE">
                      <a:rPr lang="en-US"/>
                      <a:pPr/>
                      <a:t>[VALUE]</a:t>
                    </a:fld>
                    <a:r>
                      <a:rPr lang="en-US"/>
                      <a:t> </a:t>
                    </a:r>
                  </a:p>
                  <a:p>
                    <a:r>
                      <a:rPr lang="en-US"/>
                      <a:t>(1072.5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E1A18187-8280-4236-9CB4-17FC39D05F13}" type="VALUE">
                      <a:rPr lang="en-US"/>
                      <a:pPr/>
                      <a:t>[VALUE]</a:t>
                    </a:fld>
                    <a:r>
                      <a:rPr lang="en-US"/>
                      <a:t> </a:t>
                    </a:r>
                  </a:p>
                  <a:p>
                    <a:r>
                      <a:rPr lang="en-US"/>
                      <a:t>(6737.1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tx>
                <c:rich>
                  <a:bodyPr/>
                  <a:lstStyle/>
                  <a:p>
                    <a:fld id="{2091071E-4CA5-45CB-96C6-C1C8F76F1762}" type="VALUE">
                      <a:rPr lang="en-US"/>
                      <a:pPr/>
                      <a:t>[VALUE]</a:t>
                    </a:fld>
                    <a:endParaRPr lang="en-US"/>
                  </a:p>
                  <a:p>
                    <a:r>
                      <a:rPr lang="en-US"/>
                      <a:t>(755.9</a:t>
                    </a:r>
                    <a:r>
                      <a:rPr lang="en-US" baseline="0"/>
                      <a:t>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17902E6E-5E9A-4CBB-AD02-56D8F8BFB2D9}" type="VALUE">
                      <a:rPr lang="en-US"/>
                      <a:pPr/>
                      <a:t>[VALUE]</a:t>
                    </a:fld>
                    <a:endParaRPr lang="en-US"/>
                  </a:p>
                  <a:p>
                    <a:r>
                      <a:rPr lang="en-US"/>
                      <a:t>(785.5days)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1CE6AC11-005E-4359-9C53-E95F353EC68B}" type="VALUE">
                      <a:rPr lang="en-US"/>
                      <a:pPr/>
                      <a:t>[VALUE]</a:t>
                    </a:fld>
                    <a:endParaRPr lang="en-US"/>
                  </a:p>
                  <a:p>
                    <a:r>
                      <a:rPr lang="en-US"/>
                      <a:t>(3103.6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1E2E08E-A522-4A83-8462-BC28B8D3A8A1}" type="VALUE">
                      <a:rPr lang="en-US"/>
                      <a:pPr/>
                      <a:t>[VALUE]</a:t>
                    </a:fld>
                    <a:endParaRPr lang="en-US"/>
                  </a:p>
                  <a:p>
                    <a:r>
                      <a:rPr lang="en-US"/>
                      <a:t>(4826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 per quarter'!$G$1)</c:f>
              <c:strCache>
                <c:ptCount val="2"/>
                <c:pt idx="0">
                  <c:v>Cumulative Q1</c:v>
                </c:pt>
                <c:pt idx="1">
                  <c:v>Total planned 2019/20</c:v>
                </c:pt>
              </c:strCache>
            </c:strRef>
          </c:cat>
          <c:val>
            <c:numRef>
              <c:f>('% per quarter'!$B$2,'% per quarter'!$G$2)</c:f>
              <c:numCache>
                <c:formatCode>0.0%</c:formatCode>
                <c:ptCount val="2"/>
                <c:pt idx="0">
                  <c:v>0.14599999999999999</c:v>
                </c:pt>
                <c:pt idx="1">
                  <c:v>0.21049999999999999</c:v>
                </c:pt>
              </c:numCache>
            </c:numRef>
          </c:val>
        </c:ser>
        <c:dLbls>
          <c:dLblPos val="outEnd"/>
          <c:showLegendKey val="0"/>
          <c:showVal val="1"/>
          <c:showCatName val="0"/>
          <c:showSerName val="0"/>
          <c:showPercent val="0"/>
          <c:showBubbleSize val="0"/>
        </c:dLbls>
        <c:gapWidth val="219"/>
        <c:overlap val="-27"/>
        <c:axId val="1541558768"/>
        <c:axId val="1541569648"/>
      </c:barChart>
      <c:catAx>
        <c:axId val="154155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69648"/>
        <c:crosses val="autoZero"/>
        <c:auto val="1"/>
        <c:lblAlgn val="ctr"/>
        <c:lblOffset val="100"/>
        <c:noMultiLvlLbl val="0"/>
      </c:catAx>
      <c:valAx>
        <c:axId val="1541569648"/>
        <c:scaling>
          <c:orientation val="minMax"/>
        </c:scaling>
        <c:delete val="1"/>
        <c:axPos val="l"/>
        <c:numFmt formatCode="0.0%" sourceLinked="1"/>
        <c:majorTickMark val="none"/>
        <c:minorTickMark val="none"/>
        <c:tickLblPos val="nextTo"/>
        <c:crossAx val="154155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080719.xlsx]SP2 Chart!PivotTable2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'SP2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'SP2 Chart'!$A$4:$A$10</c:f>
              <c:strCache>
                <c:ptCount val="6"/>
                <c:pt idx="0">
                  <c:v>Competing priorities reducing staffing capacity</c:v>
                </c:pt>
                <c:pt idx="1">
                  <c:v>External suppliers not delivering</c:v>
                </c:pt>
                <c:pt idx="2">
                  <c:v>Issues with stakeholder engagement</c:v>
                </c:pt>
                <c:pt idx="3">
                  <c:v>No Issues</c:v>
                </c:pt>
                <c:pt idx="4">
                  <c:v>Non-reporting</c:v>
                </c:pt>
                <c:pt idx="5">
                  <c:v>Work not started yet</c:v>
                </c:pt>
              </c:strCache>
            </c:strRef>
          </c:cat>
          <c:val>
            <c:numRef>
              <c:f>'SP2 Chart'!$B$4:$B$10</c:f>
              <c:numCache>
                <c:formatCode>General</c:formatCode>
                <c:ptCount val="6"/>
                <c:pt idx="0">
                  <c:v>4</c:v>
                </c:pt>
                <c:pt idx="1">
                  <c:v>2</c:v>
                </c:pt>
                <c:pt idx="2">
                  <c:v>1</c:v>
                </c:pt>
                <c:pt idx="3">
                  <c:v>34</c:v>
                </c:pt>
                <c:pt idx="4">
                  <c:v>3</c:v>
                </c:pt>
                <c:pt idx="5">
                  <c:v>10</c:v>
                </c:pt>
              </c:numCache>
            </c:numRef>
          </c:val>
        </c:ser>
        <c:dLbls>
          <c:showLegendKey val="0"/>
          <c:showVal val="0"/>
          <c:showCatName val="0"/>
          <c:showSerName val="0"/>
          <c:showPercent val="0"/>
          <c:showBubbleSize val="0"/>
        </c:dLbls>
        <c:gapWidth val="182"/>
        <c:axId val="1541570192"/>
        <c:axId val="1541562032"/>
      </c:barChart>
      <c:catAx>
        <c:axId val="1541570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62032"/>
        <c:crosses val="autoZero"/>
        <c:auto val="1"/>
        <c:lblAlgn val="ctr"/>
        <c:lblOffset val="100"/>
        <c:noMultiLvlLbl val="0"/>
      </c:catAx>
      <c:valAx>
        <c:axId val="1541562032"/>
        <c:scaling>
          <c:orientation val="minMax"/>
        </c:scaling>
        <c:delete val="1"/>
        <c:axPos val="b"/>
        <c:numFmt formatCode="General" sourceLinked="1"/>
        <c:majorTickMark val="none"/>
        <c:minorTickMark val="none"/>
        <c:tickLblPos val="nextTo"/>
        <c:crossAx val="15415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'SP2'!$A$2</c:f>
              <c:strCache>
                <c:ptCount val="1"/>
                <c:pt idx="0">
                  <c:v>SP2 - Improve the health and wellbeing of all children and young people with an emphasis on prevention and equity</c:v>
                </c:pt>
              </c:strCache>
            </c:strRef>
          </c:tx>
          <c:spPr>
            <a:solidFill>
              <a:schemeClr val="accent1"/>
            </a:solidFill>
            <a:ln>
              <a:noFill/>
            </a:ln>
            <a:effectLst/>
          </c:spPr>
          <c:invertIfNegative val="0"/>
          <c:dLbls>
            <c:dLbl>
              <c:idx val="2"/>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('SP2'!$E$1:$G$1,'SP2'!$J$1)</c:f>
              <c:strCache>
                <c:ptCount val="4"/>
                <c:pt idx="0">
                  <c:v>Budget</c:v>
                </c:pt>
                <c:pt idx="1">
                  <c:v>YTD Budget</c:v>
                </c:pt>
                <c:pt idx="2">
                  <c:v>Actual</c:v>
                </c:pt>
                <c:pt idx="3">
                  <c:v>Committed Spend</c:v>
                </c:pt>
              </c:strCache>
            </c:strRef>
          </c:cat>
          <c:val>
            <c:numRef>
              <c:f>('SP2'!$E$2:$G$2,'SP2'!$J$2)</c:f>
              <c:numCache>
                <c:formatCode>0.00</c:formatCode>
                <c:ptCount val="4"/>
                <c:pt idx="0">
                  <c:v>252750</c:v>
                </c:pt>
                <c:pt idx="1">
                  <c:v>7595</c:v>
                </c:pt>
                <c:pt idx="2">
                  <c:v>-525.9</c:v>
                </c:pt>
                <c:pt idx="3">
                  <c:v>20745.77</c:v>
                </c:pt>
              </c:numCache>
            </c:numRef>
          </c:val>
        </c:ser>
        <c:dLbls>
          <c:showLegendKey val="0"/>
          <c:showVal val="0"/>
          <c:showCatName val="0"/>
          <c:showSerName val="0"/>
          <c:showPercent val="0"/>
          <c:showBubbleSize val="0"/>
        </c:dLbls>
        <c:gapWidth val="219"/>
        <c:overlap val="-27"/>
        <c:axId val="1541555504"/>
        <c:axId val="1541556048"/>
      </c:barChart>
      <c:catAx>
        <c:axId val="154155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56048"/>
        <c:crosses val="autoZero"/>
        <c:auto val="1"/>
        <c:lblAlgn val="ctr"/>
        <c:lblOffset val="100"/>
        <c:noMultiLvlLbl val="0"/>
      </c:catAx>
      <c:valAx>
        <c:axId val="1541556048"/>
        <c:scaling>
          <c:orientation val="minMax"/>
        </c:scaling>
        <c:delete val="1"/>
        <c:axPos val="l"/>
        <c:numFmt formatCode="0.00" sourceLinked="1"/>
        <c:majorTickMark val="none"/>
        <c:minorTickMark val="none"/>
        <c:tickLblPos val="nextTo"/>
        <c:crossAx val="154155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SP2 per month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'Staff time per month'!$A$18:$A$20</c:f>
              <c:strCache>
                <c:ptCount val="3"/>
                <c:pt idx="0">
                  <c:v>Apr</c:v>
                </c:pt>
                <c:pt idx="1">
                  <c:v>May</c:v>
                </c:pt>
                <c:pt idx="2">
                  <c:v>Jun</c:v>
                </c:pt>
              </c:strCache>
            </c:strRef>
          </c:cat>
          <c:val>
            <c:numRef>
              <c:f>'Staff time per month'!$B$18:$B$20</c:f>
              <c:numCache>
                <c:formatCode>0.0</c:formatCode>
                <c:ptCount val="3"/>
                <c:pt idx="0">
                  <c:v>97</c:v>
                </c:pt>
                <c:pt idx="1">
                  <c:v>92.7</c:v>
                </c:pt>
                <c:pt idx="2">
                  <c:v>101.5</c:v>
                </c:pt>
              </c:numCache>
            </c:numRef>
          </c:val>
          <c:smooth val="0"/>
        </c:ser>
        <c:dLbls>
          <c:dLblPos val="t"/>
          <c:showLegendKey val="0"/>
          <c:showVal val="1"/>
          <c:showCatName val="0"/>
          <c:showSerName val="0"/>
          <c:showPercent val="0"/>
          <c:showBubbleSize val="0"/>
        </c:dLbls>
        <c:marker val="1"/>
        <c:smooth val="0"/>
        <c:axId val="1541561488"/>
        <c:axId val="1541557136"/>
      </c:lineChart>
      <c:catAx>
        <c:axId val="154156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57136"/>
        <c:crosses val="autoZero"/>
        <c:auto val="1"/>
        <c:lblAlgn val="ctr"/>
        <c:lblOffset val="100"/>
        <c:noMultiLvlLbl val="0"/>
      </c:catAx>
      <c:valAx>
        <c:axId val="154155713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4156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Proportion of all time spent in the organisation that was attributed to working on SP2 per quarter</a:t>
            </a:r>
            <a:endParaRPr lang="en-GB"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 per quarter'!$A$4</c:f>
              <c:strCache>
                <c:ptCount val="1"/>
                <c:pt idx="0">
                  <c:v>SP2</c:v>
                </c:pt>
              </c:strCache>
            </c:strRef>
          </c:tx>
          <c:spPr>
            <a:solidFill>
              <a:schemeClr val="accent1"/>
            </a:solidFill>
            <a:ln>
              <a:noFill/>
            </a:ln>
            <a:effectLst/>
          </c:spPr>
          <c:invertIfNegative val="0"/>
          <c:dLbls>
            <c:dLbl>
              <c:idx val="0"/>
              <c:layout/>
              <c:tx>
                <c:rich>
                  <a:bodyPr/>
                  <a:lstStyle/>
                  <a:p>
                    <a:fld id="{0A345B0E-0DA8-4C9A-ADAA-6B02A6B777BF}" type="VALUE">
                      <a:rPr lang="en-US"/>
                      <a:pPr/>
                      <a:t>[VALUE]</a:t>
                    </a:fld>
                    <a:endParaRPr lang="en-US"/>
                  </a:p>
                  <a:p>
                    <a:r>
                      <a:rPr lang="en-US"/>
                      <a:t>(291.2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929F110C-E3C4-4334-B665-8A215A3A193B}" type="VALUE">
                      <a:rPr lang="en-US"/>
                      <a:pPr/>
                      <a:t>[VALUE]</a:t>
                    </a:fld>
                    <a:endParaRPr lang="en-US"/>
                  </a:p>
                  <a:p>
                    <a:r>
                      <a:rPr lang="en-US"/>
                      <a:t>(1921.5 days)</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tx>
                <c:rich>
                  <a:bodyPr/>
                  <a:lstStyle/>
                  <a:p>
                    <a:fld id="{33E3C276-A3E7-4820-862C-C04F4D88774D}" type="VALUE">
                      <a:rPr lang="en-US"/>
                      <a:pPr/>
                      <a:t>[VALUE]</a:t>
                    </a:fld>
                    <a:endParaRPr lang="en-US"/>
                  </a:p>
                  <a:p>
                    <a:r>
                      <a:rPr lang="en-US"/>
                      <a:t>(336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A44ADAFB-F0D3-47F9-9498-F420CFA905F7}" type="VALUE">
                      <a:rPr lang="en-US"/>
                      <a:pPr/>
                      <a:t>[VALUE]</a:t>
                    </a:fld>
                    <a:endParaRPr lang="en-US"/>
                  </a:p>
                  <a:p>
                    <a:r>
                      <a:rPr lang="en-US"/>
                      <a:t>(234.4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9460A64F-3ABD-4845-985F-F00AF6C45498}" type="VALUE">
                      <a:rPr lang="en-US"/>
                      <a:pPr/>
                      <a:t>[VALUE]</a:t>
                    </a:fld>
                    <a:endParaRPr lang="en-US"/>
                  </a:p>
                  <a:p>
                    <a:r>
                      <a:rPr lang="en-US"/>
                      <a:t>(1414.3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E02ABFC0-BC6D-4A04-8632-E9B3F51B2961}" type="VALUE">
                      <a:rPr lang="en-US"/>
                      <a:pPr/>
                      <a:t>[VALUE]</a:t>
                    </a:fld>
                    <a:endParaRPr lang="en-US"/>
                  </a:p>
                  <a:p>
                    <a:r>
                      <a:rPr lang="en-US"/>
                      <a:t>(1699.5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quarter'!$B$3,'% per quarter'!$G$3)</c:f>
              <c:strCache>
                <c:ptCount val="2"/>
                <c:pt idx="0">
                  <c:v>Cumulative Q1</c:v>
                </c:pt>
                <c:pt idx="1">
                  <c:v>Total planned 2019/20</c:v>
                </c:pt>
              </c:strCache>
            </c:strRef>
          </c:cat>
          <c:val>
            <c:numRef>
              <c:f>('% per quarter'!$B$4,'% per quarter'!$G$4)</c:f>
              <c:numCache>
                <c:formatCode>0.0%</c:formatCode>
                <c:ptCount val="2"/>
                <c:pt idx="0">
                  <c:v>0.04</c:v>
                </c:pt>
                <c:pt idx="1">
                  <c:v>6.0100000000000001E-2</c:v>
                </c:pt>
              </c:numCache>
            </c:numRef>
          </c:val>
        </c:ser>
        <c:dLbls>
          <c:dLblPos val="outEnd"/>
          <c:showLegendKey val="0"/>
          <c:showVal val="1"/>
          <c:showCatName val="0"/>
          <c:showSerName val="0"/>
          <c:showPercent val="0"/>
          <c:showBubbleSize val="0"/>
        </c:dLbls>
        <c:gapWidth val="219"/>
        <c:overlap val="-27"/>
        <c:axId val="1541562576"/>
        <c:axId val="1541559312"/>
      </c:barChart>
      <c:catAx>
        <c:axId val="154156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59312"/>
        <c:crosses val="autoZero"/>
        <c:auto val="1"/>
        <c:lblAlgn val="ctr"/>
        <c:lblOffset val="100"/>
        <c:noMultiLvlLbl val="0"/>
      </c:catAx>
      <c:valAx>
        <c:axId val="1541559312"/>
        <c:scaling>
          <c:orientation val="minMax"/>
        </c:scaling>
        <c:delete val="1"/>
        <c:axPos val="l"/>
        <c:numFmt formatCode="0.0%" sourceLinked="1"/>
        <c:majorTickMark val="none"/>
        <c:minorTickMark val="none"/>
        <c:tickLblPos val="nextTo"/>
        <c:crossAx val="154156257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 Output Progress 080719.xlsx]SP3 Chart!PivotTable3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SP3</a:t>
            </a:r>
          </a:p>
        </c:rich>
      </c:tx>
      <c:layout>
        <c:manualLayout>
          <c:xMode val="edge"/>
          <c:yMode val="edge"/>
          <c:x val="0.456388888888888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'SP3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'SP3 Chart'!$A$4:$A$13</c:f>
              <c:strCache>
                <c:ptCount val="9"/>
                <c:pt idx="0">
                  <c:v>Budget management issues</c:v>
                </c:pt>
                <c:pt idx="1">
                  <c:v>Competing priorities reducing staffing capacity</c:v>
                </c:pt>
                <c:pt idx="2">
                  <c:v>Completed</c:v>
                </c:pt>
                <c:pt idx="3">
                  <c:v>Dropped</c:v>
                </c:pt>
                <c:pt idx="4">
                  <c:v>Issues with stakeholder engagement</c:v>
                </c:pt>
                <c:pt idx="5">
                  <c:v>No Issues</c:v>
                </c:pt>
                <c:pt idx="6">
                  <c:v>Unanticipated technical problem(s)</c:v>
                </c:pt>
                <c:pt idx="7">
                  <c:v>Vacancy reducing staffing capacity</c:v>
                </c:pt>
                <c:pt idx="8">
                  <c:v>Work not started yet</c:v>
                </c:pt>
              </c:strCache>
            </c:strRef>
          </c:cat>
          <c:val>
            <c:numRef>
              <c:f>'SP3 Chart'!$B$4:$B$13</c:f>
              <c:numCache>
                <c:formatCode>General</c:formatCode>
                <c:ptCount val="9"/>
                <c:pt idx="0">
                  <c:v>3</c:v>
                </c:pt>
                <c:pt idx="1">
                  <c:v>4</c:v>
                </c:pt>
                <c:pt idx="2">
                  <c:v>1</c:v>
                </c:pt>
                <c:pt idx="3">
                  <c:v>2</c:v>
                </c:pt>
                <c:pt idx="4">
                  <c:v>1</c:v>
                </c:pt>
                <c:pt idx="5">
                  <c:v>56</c:v>
                </c:pt>
                <c:pt idx="6">
                  <c:v>1</c:v>
                </c:pt>
                <c:pt idx="7">
                  <c:v>1</c:v>
                </c:pt>
                <c:pt idx="8">
                  <c:v>5</c:v>
                </c:pt>
              </c:numCache>
            </c:numRef>
          </c:val>
        </c:ser>
        <c:dLbls>
          <c:showLegendKey val="0"/>
          <c:showVal val="0"/>
          <c:showCatName val="0"/>
          <c:showSerName val="0"/>
          <c:showPercent val="0"/>
          <c:showBubbleSize val="0"/>
        </c:dLbls>
        <c:gapWidth val="182"/>
        <c:axId val="1541559856"/>
        <c:axId val="1541560400"/>
      </c:barChart>
      <c:catAx>
        <c:axId val="1541559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60400"/>
        <c:crosses val="autoZero"/>
        <c:auto val="1"/>
        <c:lblAlgn val="ctr"/>
        <c:lblOffset val="100"/>
        <c:noMultiLvlLbl val="0"/>
      </c:catAx>
      <c:valAx>
        <c:axId val="1541560400"/>
        <c:scaling>
          <c:orientation val="minMax"/>
        </c:scaling>
        <c:delete val="1"/>
        <c:axPos val="b"/>
        <c:numFmt formatCode="General" sourceLinked="1"/>
        <c:majorTickMark val="none"/>
        <c:minorTickMark val="none"/>
        <c:tickLblPos val="nextTo"/>
        <c:crossAx val="154155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597FC7845F949BDF1F799D924B972" ma:contentTypeVersion="0" ma:contentTypeDescription="Create a new document." ma:contentTypeScope="" ma:versionID="9f987b3dec9f96c52a6cefa4df10e7f9">
  <xsd:schema xmlns:xsd="http://www.w3.org/2001/XMLSchema" xmlns:xs="http://www.w3.org/2001/XMLSchema" xmlns:p="http://schemas.microsoft.com/office/2006/metadata/properties" targetNamespace="http://schemas.microsoft.com/office/2006/metadata/properties" ma:root="true" ma:fieldsID="78966ce9cec30663e04e2be4c3f00b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5C7A-18BA-481E-9ED1-4E7BD3F7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8FD23-110A-49BC-9437-67520BD09451}">
  <ds:schemaRefs>
    <ds:schemaRef ds:uri="http://schemas.microsoft.com/sharepoint/v3/contenttype/forms"/>
  </ds:schemaRefs>
</ds:datastoreItem>
</file>

<file path=customXml/itemProps3.xml><?xml version="1.0" encoding="utf-8"?>
<ds:datastoreItem xmlns:ds="http://schemas.openxmlformats.org/officeDocument/2006/customXml" ds:itemID="{C126BFFA-D625-482F-B9FB-B5B2A4B3EC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D9955-F1C6-484A-BC48-33D17EFC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40</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Q1 report - 2019-20</vt:lpstr>
    </vt:vector>
  </TitlesOfParts>
  <Company>NHSHealthScotland</Company>
  <LinksUpToDate>false</LinksUpToDate>
  <CharactersWithSpaces>42659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report - 2019-20</dc:title>
  <dc:subject/>
  <dc:creator>Robert Ross</dc:creator>
  <cp:keywords/>
  <dc:description/>
  <cp:lastModifiedBy>Marie Kerrigan</cp:lastModifiedBy>
  <cp:revision>13</cp:revision>
  <dcterms:created xsi:type="dcterms:W3CDTF">2019-09-02T09:22:00Z</dcterms:created>
  <dcterms:modified xsi:type="dcterms:W3CDTF">2019-09-20T13:23:00Z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0x010100F6C597FC7845F949BDF1F799D924B972</vt:lpwstr>
  </property>
  <property fmtid="{D5CDD505-2E9C-101B-9397-08002B2CF9AE}" pid="3" name="HSTeam">
    <vt:lpwstr>155;#Organisational Performance|675640a1-6545-4c88-96ac-52908cc5bc5f</vt:lpwstr>
  </property>
  <property fmtid="{D5CDD505-2E9C-101B-9397-08002B2CF9AE}" pid="4" name="HSDocumentTag">
    <vt:lpwstr>6793;#Policy and Outcomes Team|2ae8b9e0-358c-452b-9451-ff0df9682508</vt:lpwstr>
  </property>
  <property fmtid="{D5CDD505-2E9C-101B-9397-08002B2CF9AE}" pid="5" name="HSYear">
    <vt:lpwstr>6344;#2019|108c8c6e-9117-47f5-8925-4b152f0cc9eb</vt:lpwstr>
  </property>
  <property fmtid="{D5CDD505-2E9C-101B-9397-08002B2CF9AE}" pid="6" name="HSMonth">
    <vt:lpwstr>1660;#July|d976e726-04ca-4a56-9db3-e99f3570b895</vt:lpwstr>
  </property>
</Properties>
</file>