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11" w:rsidRDefault="006A4C11" w:rsidP="006A4C11">
      <w:pPr>
        <w:pStyle w:val="Header"/>
        <w:tabs>
          <w:tab w:val="left" w:pos="720"/>
        </w:tabs>
        <w:rPr>
          <w:rFonts w:ascii="Arial" w:hAnsi="Arial" w:cs="Arial"/>
          <w:b/>
          <w:color w:val="FF0000"/>
          <w:sz w:val="24"/>
          <w:szCs w:val="24"/>
        </w:rPr>
      </w:pPr>
    </w:p>
    <w:p w:rsidR="006A4C11" w:rsidRDefault="006A4C11" w:rsidP="006A4C11">
      <w:pPr>
        <w:keepNext/>
        <w:jc w:val="right"/>
        <w:rPr>
          <w:rFonts w:ascii="Arial" w:hAnsi="Arial" w:cs="Arial"/>
          <w:sz w:val="24"/>
          <w:szCs w:val="24"/>
        </w:rPr>
      </w:pPr>
      <w:r>
        <w:rPr>
          <w:rFonts w:ascii="Arial" w:hAnsi="Arial" w:cs="Arial"/>
          <w:noProof/>
          <w:sz w:val="24"/>
          <w:szCs w:val="24"/>
          <w:lang w:eastAsia="en-GB"/>
        </w:rPr>
        <w:drawing>
          <wp:inline distT="0" distB="0" distL="0" distR="0">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6A4C11" w:rsidRDefault="006A4C11" w:rsidP="006A4C11">
      <w:pPr>
        <w:keepNext/>
        <w:rPr>
          <w:rFonts w:ascii="Arial" w:hAnsi="Arial" w:cs="Arial"/>
          <w:sz w:val="24"/>
          <w:szCs w:val="24"/>
        </w:rPr>
      </w:pPr>
    </w:p>
    <w:p w:rsidR="006A4C11" w:rsidRDefault="006A4C11" w:rsidP="006A4C11">
      <w:pPr>
        <w:keepNext/>
        <w:rPr>
          <w:rFonts w:ascii="Arial" w:hAnsi="Arial" w:cs="Arial"/>
          <w:sz w:val="24"/>
          <w:szCs w:val="24"/>
        </w:rPr>
      </w:pPr>
    </w:p>
    <w:p w:rsidR="006A4C11" w:rsidRDefault="006A4C11" w:rsidP="006A4C11">
      <w:pPr>
        <w:keepNext/>
        <w:jc w:val="right"/>
        <w:rPr>
          <w:rFonts w:ascii="Arial" w:hAnsi="Arial" w:cs="Arial"/>
          <w:sz w:val="24"/>
          <w:szCs w:val="24"/>
        </w:rPr>
      </w:pPr>
    </w:p>
    <w:p w:rsidR="006A4C11" w:rsidRDefault="006A4C11" w:rsidP="006A4C11">
      <w:pPr>
        <w:keepNext/>
        <w:jc w:val="right"/>
        <w:rPr>
          <w:rFonts w:ascii="Arial" w:hAnsi="Arial" w:cs="Arial"/>
          <w:b/>
          <w:sz w:val="24"/>
          <w:szCs w:val="24"/>
        </w:rPr>
      </w:pPr>
      <w:r>
        <w:rPr>
          <w:rFonts w:ascii="Arial" w:hAnsi="Arial" w:cs="Arial"/>
          <w:b/>
          <w:sz w:val="24"/>
          <w:szCs w:val="24"/>
        </w:rPr>
        <w:t>HS Paper</w:t>
      </w:r>
      <w:r w:rsidR="003F0494">
        <w:rPr>
          <w:rFonts w:ascii="Arial" w:hAnsi="Arial" w:cs="Arial"/>
          <w:b/>
          <w:sz w:val="24"/>
          <w:szCs w:val="24"/>
        </w:rPr>
        <w:t xml:space="preserve"> 12/15</w:t>
      </w:r>
      <w:r>
        <w:rPr>
          <w:rFonts w:ascii="Arial" w:hAnsi="Arial" w:cs="Arial"/>
          <w:b/>
          <w:sz w:val="24"/>
          <w:szCs w:val="24"/>
        </w:rPr>
        <w:t xml:space="preserve"> </w:t>
      </w:r>
    </w:p>
    <w:p w:rsidR="006A4C11" w:rsidRDefault="006A4C11" w:rsidP="006A4C11">
      <w:pPr>
        <w:keepNext/>
        <w:jc w:val="right"/>
        <w:rPr>
          <w:rFonts w:ascii="Arial" w:hAnsi="Arial" w:cs="Arial"/>
          <w:sz w:val="24"/>
          <w:szCs w:val="24"/>
        </w:rPr>
      </w:pPr>
    </w:p>
    <w:p w:rsidR="006A4C11" w:rsidRDefault="006A4C11" w:rsidP="006A4C11">
      <w:pPr>
        <w:rPr>
          <w:rFonts w:ascii="Arial" w:hAnsi="Arial" w:cs="Arial"/>
          <w:sz w:val="24"/>
          <w:szCs w:val="24"/>
        </w:rPr>
      </w:pPr>
    </w:p>
    <w:p w:rsidR="006A4C11" w:rsidRDefault="006A4C11" w:rsidP="006A4C11">
      <w:pPr>
        <w:rPr>
          <w:rFonts w:ascii="Arial" w:hAnsi="Arial" w:cs="Arial"/>
          <w:b/>
          <w:sz w:val="24"/>
          <w:szCs w:val="24"/>
        </w:rPr>
      </w:pPr>
    </w:p>
    <w:p w:rsidR="006A4C11" w:rsidRDefault="006A4C11" w:rsidP="006A4C11">
      <w:pPr>
        <w:rPr>
          <w:rFonts w:ascii="Arial" w:hAnsi="Arial" w:cs="Arial"/>
          <w:b/>
          <w:sz w:val="24"/>
          <w:szCs w:val="24"/>
        </w:rPr>
      </w:pPr>
      <w:r>
        <w:rPr>
          <w:rFonts w:ascii="Arial" w:hAnsi="Arial" w:cs="Arial"/>
          <w:b/>
          <w:sz w:val="24"/>
          <w:szCs w:val="24"/>
        </w:rPr>
        <w:t>BOARD MEETING: 27 M</w:t>
      </w:r>
      <w:r w:rsidR="003F0494">
        <w:rPr>
          <w:rFonts w:ascii="Arial" w:hAnsi="Arial" w:cs="Arial"/>
          <w:b/>
          <w:sz w:val="24"/>
          <w:szCs w:val="24"/>
        </w:rPr>
        <w:t>ARCH</w:t>
      </w:r>
      <w:r>
        <w:rPr>
          <w:rFonts w:ascii="Arial" w:hAnsi="Arial" w:cs="Arial"/>
          <w:b/>
          <w:sz w:val="24"/>
          <w:szCs w:val="24"/>
        </w:rPr>
        <w:t xml:space="preserve"> 2015</w:t>
      </w:r>
    </w:p>
    <w:p w:rsidR="006A4C11" w:rsidRDefault="006A4C11" w:rsidP="006A4C11">
      <w:pPr>
        <w:rPr>
          <w:rFonts w:ascii="Arial" w:hAnsi="Arial" w:cs="Arial"/>
          <w:sz w:val="24"/>
          <w:szCs w:val="24"/>
        </w:rPr>
      </w:pPr>
    </w:p>
    <w:p w:rsidR="006A4C11" w:rsidRDefault="006A4C11" w:rsidP="006A4C11">
      <w:pPr>
        <w:rPr>
          <w:rFonts w:ascii="Arial" w:hAnsi="Arial" w:cs="Arial"/>
          <w:sz w:val="24"/>
          <w:szCs w:val="24"/>
        </w:rPr>
      </w:pPr>
    </w:p>
    <w:p w:rsidR="006A4C11" w:rsidRDefault="006A4C11" w:rsidP="006A4C11">
      <w:pPr>
        <w:shd w:val="clear" w:color="auto" w:fill="FFFFFF" w:themeFill="background1"/>
        <w:rPr>
          <w:rFonts w:ascii="Arial" w:hAnsi="Arial" w:cs="Arial"/>
          <w:b/>
          <w:sz w:val="24"/>
          <w:szCs w:val="24"/>
        </w:rPr>
      </w:pPr>
    </w:p>
    <w:p w:rsidR="006A4C11" w:rsidRPr="006A4C11" w:rsidRDefault="003F0494" w:rsidP="006A4C11">
      <w:pPr>
        <w:shd w:val="clear" w:color="auto" w:fill="FFFFFF" w:themeFill="background1"/>
        <w:rPr>
          <w:rFonts w:ascii="Arial" w:hAnsi="Arial" w:cs="Arial"/>
          <w:b/>
          <w:sz w:val="24"/>
          <w:szCs w:val="24"/>
        </w:rPr>
      </w:pPr>
      <w:r>
        <w:rPr>
          <w:rFonts w:ascii="Arial" w:hAnsi="Arial" w:cs="Arial"/>
          <w:b/>
          <w:sz w:val="24"/>
          <w:szCs w:val="24"/>
        </w:rPr>
        <w:t>PUBLIC HEALTH REVIEW –</w:t>
      </w:r>
      <w:r w:rsidR="00D41690">
        <w:rPr>
          <w:rFonts w:ascii="Arial" w:hAnsi="Arial" w:cs="Arial"/>
          <w:b/>
          <w:sz w:val="24"/>
          <w:szCs w:val="24"/>
        </w:rPr>
        <w:t xml:space="preserve"> </w:t>
      </w:r>
      <w:r>
        <w:rPr>
          <w:rFonts w:ascii="Arial" w:hAnsi="Arial" w:cs="Arial"/>
          <w:b/>
          <w:sz w:val="24"/>
          <w:szCs w:val="24"/>
        </w:rPr>
        <w:t>CONSULTATION</w:t>
      </w:r>
      <w:r w:rsidR="006A4C11" w:rsidRPr="006A4C11">
        <w:rPr>
          <w:rFonts w:ascii="Arial" w:hAnsi="Arial" w:cs="Arial"/>
          <w:b/>
          <w:sz w:val="24"/>
          <w:szCs w:val="24"/>
        </w:rPr>
        <w:t xml:space="preserve"> </w:t>
      </w:r>
      <w:r w:rsidR="0062677C">
        <w:rPr>
          <w:rFonts w:ascii="Arial" w:hAnsi="Arial" w:cs="Arial"/>
          <w:b/>
          <w:sz w:val="24"/>
          <w:szCs w:val="24"/>
        </w:rPr>
        <w:t>RESPONSE</w:t>
      </w:r>
    </w:p>
    <w:p w:rsidR="006A4C11" w:rsidRDefault="006A4C11" w:rsidP="006A4C11">
      <w:pPr>
        <w:rPr>
          <w:rFonts w:ascii="Arial" w:hAnsi="Arial" w:cs="Arial"/>
          <w:sz w:val="24"/>
          <w:szCs w:val="24"/>
        </w:rPr>
      </w:pPr>
    </w:p>
    <w:p w:rsidR="006A4C11" w:rsidRDefault="006A4C11" w:rsidP="006A4C11">
      <w:pPr>
        <w:rPr>
          <w:rFonts w:ascii="Arial" w:hAnsi="Arial" w:cs="Arial"/>
          <w:sz w:val="24"/>
          <w:szCs w:val="24"/>
        </w:rPr>
      </w:pPr>
    </w:p>
    <w:p w:rsidR="006A4C11" w:rsidRDefault="006A4C11" w:rsidP="006A4C11">
      <w:pPr>
        <w:rPr>
          <w:rFonts w:ascii="Arial" w:hAnsi="Arial" w:cs="Arial"/>
          <w:sz w:val="24"/>
          <w:szCs w:val="24"/>
        </w:rPr>
      </w:pPr>
    </w:p>
    <w:p w:rsidR="006A4C11" w:rsidRDefault="006A4C11" w:rsidP="006A4C11">
      <w:pPr>
        <w:pStyle w:val="Heading3"/>
        <w:spacing w:before="0" w:after="0"/>
        <w:rPr>
          <w:color w:val="000000"/>
          <w:sz w:val="24"/>
          <w:szCs w:val="24"/>
        </w:rPr>
      </w:pPr>
      <w:r>
        <w:rPr>
          <w:color w:val="000000"/>
          <w:sz w:val="24"/>
          <w:szCs w:val="24"/>
        </w:rPr>
        <w:t>Recommendation/action required:</w:t>
      </w:r>
    </w:p>
    <w:p w:rsidR="006A4C11" w:rsidRDefault="006A4C11" w:rsidP="006A4C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A4C11" w:rsidTr="006A4C11">
        <w:tc>
          <w:tcPr>
            <w:tcW w:w="9344" w:type="dxa"/>
            <w:tcBorders>
              <w:top w:val="single" w:sz="4" w:space="0" w:color="auto"/>
              <w:left w:val="single" w:sz="4" w:space="0" w:color="auto"/>
              <w:bottom w:val="single" w:sz="4" w:space="0" w:color="auto"/>
              <w:right w:val="single" w:sz="4" w:space="0" w:color="auto"/>
            </w:tcBorders>
          </w:tcPr>
          <w:p w:rsidR="00A056D2" w:rsidRDefault="00A056D2" w:rsidP="006A4C11">
            <w:pPr>
              <w:rPr>
                <w:rFonts w:ascii="Arial" w:hAnsi="Arial" w:cs="Arial"/>
                <w:sz w:val="24"/>
                <w:szCs w:val="24"/>
              </w:rPr>
            </w:pPr>
          </w:p>
          <w:p w:rsidR="006A4C11" w:rsidRDefault="006A4C11" w:rsidP="006A4C11">
            <w:pPr>
              <w:rPr>
                <w:rFonts w:ascii="Arial" w:hAnsi="Arial" w:cs="Arial"/>
                <w:sz w:val="24"/>
                <w:szCs w:val="24"/>
              </w:rPr>
            </w:pPr>
            <w:r w:rsidRPr="006A4C11">
              <w:rPr>
                <w:rFonts w:ascii="Arial" w:hAnsi="Arial" w:cs="Arial"/>
                <w:sz w:val="24"/>
                <w:szCs w:val="24"/>
              </w:rPr>
              <w:t>The Board is asked to note the response from NHS Health Scotland, and offer advice on next steps</w:t>
            </w:r>
          </w:p>
          <w:p w:rsidR="00A056D2" w:rsidRDefault="00A056D2" w:rsidP="006A4C11">
            <w:pPr>
              <w:rPr>
                <w:rFonts w:ascii="Arial" w:hAnsi="Arial" w:cs="Arial"/>
                <w:sz w:val="24"/>
                <w:szCs w:val="24"/>
              </w:rPr>
            </w:pPr>
          </w:p>
        </w:tc>
      </w:tr>
    </w:tbl>
    <w:p w:rsidR="006A4C11" w:rsidRDefault="006A4C11" w:rsidP="006A4C11">
      <w:pPr>
        <w:jc w:val="both"/>
        <w:rPr>
          <w:rFonts w:ascii="Arial" w:hAnsi="Arial" w:cs="Arial"/>
          <w:sz w:val="24"/>
          <w:szCs w:val="24"/>
        </w:rPr>
      </w:pPr>
    </w:p>
    <w:p w:rsidR="006A4C11" w:rsidRDefault="006A4C11" w:rsidP="006A4C11">
      <w:pPr>
        <w:jc w:val="both"/>
        <w:rPr>
          <w:rFonts w:ascii="Arial" w:hAnsi="Arial" w:cs="Arial"/>
          <w:sz w:val="24"/>
          <w:szCs w:val="24"/>
        </w:rPr>
      </w:pPr>
    </w:p>
    <w:p w:rsidR="006A4C11" w:rsidRDefault="006A4C11" w:rsidP="006A4C11">
      <w:pPr>
        <w:jc w:val="both"/>
        <w:rPr>
          <w:rFonts w:ascii="Arial" w:hAnsi="Arial" w:cs="Arial"/>
          <w:sz w:val="24"/>
          <w:szCs w:val="24"/>
        </w:rPr>
      </w:pPr>
    </w:p>
    <w:p w:rsidR="006A4C11" w:rsidRDefault="006A4C11" w:rsidP="006A4C11">
      <w:pPr>
        <w:tabs>
          <w:tab w:val="left" w:pos="4500"/>
        </w:tabs>
        <w:jc w:val="both"/>
        <w:rPr>
          <w:rFonts w:ascii="Arial" w:hAnsi="Arial" w:cs="Arial"/>
          <w:b/>
          <w:sz w:val="24"/>
          <w:szCs w:val="24"/>
        </w:rPr>
      </w:pPr>
      <w:r>
        <w:rPr>
          <w:rFonts w:ascii="Arial" w:hAnsi="Arial" w:cs="Arial"/>
          <w:b/>
          <w:sz w:val="24"/>
          <w:szCs w:val="24"/>
        </w:rPr>
        <w:t>Author:</w:t>
      </w:r>
      <w:r>
        <w:rPr>
          <w:rFonts w:ascii="Arial" w:hAnsi="Arial" w:cs="Arial"/>
          <w:b/>
          <w:sz w:val="24"/>
          <w:szCs w:val="24"/>
        </w:rPr>
        <w:tab/>
        <w:t>Sponsoring Director:</w:t>
      </w:r>
    </w:p>
    <w:p w:rsidR="006A4C11" w:rsidRDefault="006A4C11" w:rsidP="006A4C11">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4678"/>
      </w:tblGrid>
      <w:tr w:rsidR="006A4C11" w:rsidTr="006A4C11">
        <w:tc>
          <w:tcPr>
            <w:tcW w:w="4608" w:type="dxa"/>
            <w:tcBorders>
              <w:top w:val="single" w:sz="4" w:space="0" w:color="auto"/>
              <w:left w:val="single" w:sz="4" w:space="0" w:color="auto"/>
              <w:bottom w:val="single" w:sz="4" w:space="0" w:color="auto"/>
              <w:right w:val="single" w:sz="4" w:space="0" w:color="auto"/>
            </w:tcBorders>
          </w:tcPr>
          <w:p w:rsidR="00A056D2" w:rsidRDefault="00A056D2">
            <w:pPr>
              <w:jc w:val="both"/>
              <w:rPr>
                <w:rFonts w:ascii="Arial" w:hAnsi="Arial" w:cs="Arial"/>
                <w:b/>
                <w:sz w:val="24"/>
                <w:szCs w:val="24"/>
              </w:rPr>
            </w:pPr>
          </w:p>
          <w:p w:rsidR="006A4C11" w:rsidRDefault="006A4C11">
            <w:pPr>
              <w:jc w:val="both"/>
              <w:rPr>
                <w:rFonts w:ascii="Arial" w:hAnsi="Arial" w:cs="Arial"/>
                <w:b/>
                <w:sz w:val="24"/>
                <w:szCs w:val="24"/>
              </w:rPr>
            </w:pPr>
            <w:r>
              <w:rPr>
                <w:rFonts w:ascii="Arial" w:hAnsi="Arial" w:cs="Arial"/>
                <w:b/>
                <w:sz w:val="24"/>
                <w:szCs w:val="24"/>
              </w:rPr>
              <w:t xml:space="preserve">Andrew Fraser </w:t>
            </w:r>
          </w:p>
          <w:p w:rsidR="006A4C11" w:rsidRDefault="003F0494">
            <w:pPr>
              <w:jc w:val="both"/>
              <w:rPr>
                <w:rFonts w:ascii="Arial" w:hAnsi="Arial" w:cs="Arial"/>
                <w:b/>
                <w:sz w:val="24"/>
                <w:szCs w:val="24"/>
              </w:rPr>
            </w:pPr>
            <w:r>
              <w:rPr>
                <w:rFonts w:ascii="Arial" w:hAnsi="Arial" w:cs="Arial"/>
                <w:b/>
                <w:sz w:val="24"/>
                <w:szCs w:val="24"/>
              </w:rPr>
              <w:t>Director of Public Health Science</w:t>
            </w:r>
          </w:p>
          <w:p w:rsidR="00A056D2" w:rsidRDefault="00A056D2">
            <w:pPr>
              <w:jc w:val="both"/>
              <w:rPr>
                <w:rFonts w:ascii="Arial" w:hAnsi="Arial" w:cs="Arial"/>
                <w:b/>
                <w:sz w:val="24"/>
                <w:szCs w:val="24"/>
              </w:rPr>
            </w:pPr>
          </w:p>
        </w:tc>
        <w:tc>
          <w:tcPr>
            <w:tcW w:w="4736" w:type="dxa"/>
            <w:tcBorders>
              <w:top w:val="single" w:sz="4" w:space="0" w:color="auto"/>
              <w:left w:val="single" w:sz="4" w:space="0" w:color="auto"/>
              <w:bottom w:val="single" w:sz="4" w:space="0" w:color="auto"/>
              <w:right w:val="single" w:sz="4" w:space="0" w:color="auto"/>
            </w:tcBorders>
          </w:tcPr>
          <w:p w:rsidR="006A4C11" w:rsidRDefault="006A4C11">
            <w:pPr>
              <w:jc w:val="both"/>
              <w:rPr>
                <w:rFonts w:ascii="Arial" w:hAnsi="Arial" w:cs="Arial"/>
                <w:b/>
                <w:sz w:val="24"/>
                <w:szCs w:val="24"/>
              </w:rPr>
            </w:pPr>
          </w:p>
        </w:tc>
      </w:tr>
    </w:tbl>
    <w:p w:rsidR="006A4C11" w:rsidRDefault="006A4C11" w:rsidP="006A4C11">
      <w:pPr>
        <w:jc w:val="both"/>
        <w:rPr>
          <w:rFonts w:ascii="Arial" w:hAnsi="Arial" w:cs="Arial"/>
          <w:sz w:val="24"/>
          <w:szCs w:val="24"/>
        </w:rPr>
      </w:pPr>
    </w:p>
    <w:p w:rsidR="006A4C11" w:rsidRDefault="006A4C11" w:rsidP="006A4C11">
      <w:pPr>
        <w:jc w:val="both"/>
        <w:rPr>
          <w:rFonts w:ascii="Arial" w:hAnsi="Arial" w:cs="Arial"/>
          <w:sz w:val="24"/>
          <w:szCs w:val="24"/>
        </w:rPr>
      </w:pPr>
    </w:p>
    <w:p w:rsidR="006A4C11" w:rsidRDefault="006A4C11" w:rsidP="006A4C11">
      <w:pPr>
        <w:jc w:val="both"/>
        <w:rPr>
          <w:rFonts w:ascii="Arial" w:hAnsi="Arial" w:cs="Arial"/>
          <w:sz w:val="24"/>
          <w:szCs w:val="24"/>
        </w:rPr>
      </w:pPr>
    </w:p>
    <w:p w:rsidR="00E13025" w:rsidRDefault="006A4C11">
      <w:pPr>
        <w:rPr>
          <w:rFonts w:ascii="Arial" w:hAnsi="Arial" w:cs="Arial"/>
          <w:b/>
          <w:sz w:val="24"/>
          <w:szCs w:val="24"/>
        </w:rPr>
      </w:pPr>
      <w:r>
        <w:rPr>
          <w:rFonts w:ascii="Arial" w:hAnsi="Arial" w:cs="Arial"/>
          <w:b/>
          <w:sz w:val="24"/>
          <w:szCs w:val="24"/>
        </w:rPr>
        <w:t>20 March 2015</w:t>
      </w:r>
    </w:p>
    <w:p w:rsidR="006A4C11" w:rsidRDefault="006A4C11">
      <w:pPr>
        <w:spacing w:after="200" w:line="276" w:lineRule="auto"/>
        <w:rPr>
          <w:rFonts w:ascii="Arial" w:hAnsi="Arial" w:cs="Arial"/>
          <w:b/>
          <w:sz w:val="24"/>
          <w:szCs w:val="24"/>
        </w:rPr>
      </w:pPr>
      <w:r>
        <w:rPr>
          <w:rFonts w:ascii="Arial" w:hAnsi="Arial" w:cs="Arial"/>
          <w:b/>
          <w:sz w:val="24"/>
          <w:szCs w:val="24"/>
        </w:rPr>
        <w:br w:type="page"/>
      </w:r>
    </w:p>
    <w:p w:rsidR="006A4C11" w:rsidRPr="006A4C11" w:rsidRDefault="00ED0CCA" w:rsidP="006A4C11">
      <w:pPr>
        <w:rPr>
          <w:rFonts w:ascii="Arial" w:hAnsi="Arial" w:cs="Arial"/>
          <w:b/>
          <w:sz w:val="24"/>
          <w:szCs w:val="24"/>
        </w:rPr>
      </w:pPr>
      <w:r>
        <w:rPr>
          <w:rFonts w:ascii="Arial" w:hAnsi="Arial" w:cs="Arial"/>
          <w:b/>
          <w:sz w:val="24"/>
          <w:szCs w:val="24"/>
        </w:rPr>
        <w:lastRenderedPageBreak/>
        <w:t>Purpose</w:t>
      </w:r>
    </w:p>
    <w:p w:rsidR="006A4C11" w:rsidRPr="006A4C11" w:rsidRDefault="006A4C11" w:rsidP="006A4C11">
      <w:pPr>
        <w:rPr>
          <w:rFonts w:ascii="Arial" w:hAnsi="Arial" w:cs="Arial"/>
          <w:sz w:val="24"/>
          <w:szCs w:val="24"/>
        </w:rPr>
      </w:pPr>
    </w:p>
    <w:p w:rsidR="006A4C11" w:rsidRPr="00ED0CCA"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The Scottish Government established a Public Health Review in 2014, and sent out an engagement paper in January. It explained the context of the review and posed five questions for consideration and discussion. NHS Health Scotland prepared a response to the consultation and the final version is attached. The paper sets out the plan for the Review through to the summer, and asks the Board to consider opportunities to comment and respond as the review progresses.</w:t>
      </w:r>
    </w:p>
    <w:p w:rsidR="006A4C11" w:rsidRPr="006A4C11" w:rsidRDefault="006A4C11" w:rsidP="006A4C11">
      <w:pPr>
        <w:rPr>
          <w:rFonts w:ascii="Arial" w:hAnsi="Arial" w:cs="Arial"/>
          <w:sz w:val="24"/>
          <w:szCs w:val="24"/>
        </w:rPr>
      </w:pPr>
    </w:p>
    <w:p w:rsidR="006A4C11" w:rsidRDefault="006A4C11" w:rsidP="006A4C11">
      <w:pPr>
        <w:rPr>
          <w:rFonts w:ascii="Arial" w:hAnsi="Arial" w:cs="Arial"/>
          <w:b/>
          <w:sz w:val="24"/>
          <w:szCs w:val="24"/>
        </w:rPr>
      </w:pPr>
    </w:p>
    <w:p w:rsidR="006A4C11" w:rsidRPr="006A4C11" w:rsidRDefault="006A4C11" w:rsidP="006A4C11">
      <w:pPr>
        <w:rPr>
          <w:rFonts w:ascii="Arial" w:hAnsi="Arial" w:cs="Arial"/>
          <w:b/>
          <w:sz w:val="24"/>
          <w:szCs w:val="24"/>
        </w:rPr>
      </w:pPr>
      <w:r w:rsidRPr="006A4C11">
        <w:rPr>
          <w:rFonts w:ascii="Arial" w:hAnsi="Arial" w:cs="Arial"/>
          <w:b/>
          <w:sz w:val="24"/>
          <w:szCs w:val="24"/>
        </w:rPr>
        <w:t>Background and Review Programme</w:t>
      </w:r>
    </w:p>
    <w:p w:rsidR="006A4C11" w:rsidRPr="006A4C11" w:rsidRDefault="006A4C11" w:rsidP="006A4C11">
      <w:pPr>
        <w:rPr>
          <w:rFonts w:ascii="Arial" w:hAnsi="Arial" w:cs="Arial"/>
          <w:sz w:val="24"/>
          <w:szCs w:val="24"/>
        </w:rPr>
      </w:pPr>
    </w:p>
    <w:p w:rsidR="006A4C11"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The Public Health Review was commissioned by Scottish Health Ministers. They established a review group, which has met on two occasions – December 2014 and February 2015. Following their first meeting, they commissioned an engagement paper that explained the context and sought views from stakeholders. They invited responses over a six week period. Over 100 responses have been received.</w:t>
      </w:r>
    </w:p>
    <w:p w:rsidR="00ED0CCA" w:rsidRPr="00ED0CCA" w:rsidRDefault="00ED0CCA" w:rsidP="00ED0CCA">
      <w:pPr>
        <w:pStyle w:val="ListParagraph"/>
        <w:ind w:left="360"/>
        <w:rPr>
          <w:rFonts w:ascii="Arial" w:hAnsi="Arial" w:cs="Arial"/>
          <w:sz w:val="24"/>
          <w:szCs w:val="24"/>
        </w:rPr>
      </w:pPr>
    </w:p>
    <w:p w:rsidR="006A4C11" w:rsidRPr="00ED0CCA"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 xml:space="preserve">NHS Health Scotland engaged with the Board and staff through the Corporate Leadership Forum, and prepared a response on behalf of the organisation. The Board discussed and made suggestions on the </w:t>
      </w:r>
      <w:proofErr w:type="gramStart"/>
      <w:r w:rsidRPr="00ED0CCA">
        <w:rPr>
          <w:rFonts w:ascii="Arial" w:hAnsi="Arial" w:cs="Arial"/>
          <w:sz w:val="24"/>
          <w:szCs w:val="24"/>
        </w:rPr>
        <w:t>response,</w:t>
      </w:r>
      <w:proofErr w:type="gramEnd"/>
      <w:r w:rsidRPr="00ED0CCA">
        <w:rPr>
          <w:rFonts w:ascii="Arial" w:hAnsi="Arial" w:cs="Arial"/>
          <w:sz w:val="24"/>
          <w:szCs w:val="24"/>
        </w:rPr>
        <w:t xml:space="preserve"> saw a draft and a membership list of the Review Group at its workshop in February. Several members commented further on a later draft. The final version was submitted on the due date of March 12</w:t>
      </w:r>
      <w:r w:rsidRPr="00ED0CCA">
        <w:rPr>
          <w:rFonts w:ascii="Arial" w:hAnsi="Arial" w:cs="Arial"/>
          <w:sz w:val="24"/>
          <w:szCs w:val="24"/>
          <w:vertAlign w:val="superscript"/>
        </w:rPr>
        <w:t>th</w:t>
      </w:r>
      <w:r w:rsidRPr="00ED0CCA">
        <w:rPr>
          <w:rFonts w:ascii="Arial" w:hAnsi="Arial" w:cs="Arial"/>
          <w:sz w:val="24"/>
          <w:szCs w:val="24"/>
        </w:rPr>
        <w:t xml:space="preserve">. </w:t>
      </w:r>
    </w:p>
    <w:p w:rsidR="006A4C11" w:rsidRPr="006A4C11" w:rsidRDefault="006A4C11" w:rsidP="006A4C11">
      <w:pPr>
        <w:rPr>
          <w:rFonts w:ascii="Arial" w:hAnsi="Arial" w:cs="Arial"/>
          <w:sz w:val="24"/>
          <w:szCs w:val="24"/>
        </w:rPr>
      </w:pPr>
    </w:p>
    <w:p w:rsidR="006A4C11" w:rsidRPr="00ED0CCA"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In addition, the Scottish Public Health Network (</w:t>
      </w:r>
      <w:proofErr w:type="spellStart"/>
      <w:r w:rsidRPr="00ED0CCA">
        <w:rPr>
          <w:rFonts w:ascii="Arial" w:hAnsi="Arial" w:cs="Arial"/>
          <w:sz w:val="24"/>
          <w:szCs w:val="24"/>
        </w:rPr>
        <w:t>ScotPHN</w:t>
      </w:r>
      <w:proofErr w:type="spellEnd"/>
      <w:r w:rsidRPr="00ED0CCA">
        <w:rPr>
          <w:rFonts w:ascii="Arial" w:hAnsi="Arial" w:cs="Arial"/>
          <w:sz w:val="24"/>
          <w:szCs w:val="24"/>
        </w:rPr>
        <w:t>) coordinated and facilitated the preparation of responses on behalf of several networks. Several NHS Health Scotland colleagues also contributed to a response that focussed on workforce development.</w:t>
      </w:r>
    </w:p>
    <w:p w:rsidR="006A4C11" w:rsidRPr="006A4C11" w:rsidRDefault="006A4C11" w:rsidP="006A4C11">
      <w:pPr>
        <w:rPr>
          <w:rFonts w:ascii="Arial" w:hAnsi="Arial" w:cs="Arial"/>
          <w:sz w:val="24"/>
          <w:szCs w:val="24"/>
        </w:rPr>
      </w:pPr>
    </w:p>
    <w:p w:rsidR="006A4C11" w:rsidRPr="00ED0CCA"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 xml:space="preserve">The Scottish Government has commissioned an analysis of responses, and this will serve as the focus for three regional meetings in May: </w:t>
      </w:r>
    </w:p>
    <w:p w:rsidR="006A4C11" w:rsidRPr="006A4C11" w:rsidRDefault="006A4C11" w:rsidP="006A4C11">
      <w:pPr>
        <w:rPr>
          <w:rFonts w:ascii="Arial" w:hAnsi="Arial" w:cs="Arial"/>
          <w:sz w:val="24"/>
          <w:szCs w:val="24"/>
        </w:rPr>
      </w:pPr>
    </w:p>
    <w:p w:rsidR="006A4C11" w:rsidRPr="006A4C11" w:rsidRDefault="006A4C11" w:rsidP="00ED0CCA">
      <w:pPr>
        <w:ind w:left="360"/>
        <w:rPr>
          <w:rFonts w:ascii="Arial" w:hAnsi="Arial" w:cs="Arial"/>
          <w:sz w:val="24"/>
          <w:szCs w:val="24"/>
        </w:rPr>
      </w:pPr>
      <w:r w:rsidRPr="006A4C11">
        <w:rPr>
          <w:rFonts w:ascii="Arial" w:hAnsi="Arial" w:cs="Arial"/>
          <w:sz w:val="24"/>
          <w:szCs w:val="24"/>
        </w:rPr>
        <w:t>6 May 2015 – Dundee (Apex Hotel)</w:t>
      </w:r>
    </w:p>
    <w:p w:rsidR="006A4C11" w:rsidRPr="006A4C11" w:rsidRDefault="006A4C11" w:rsidP="00ED0CCA">
      <w:pPr>
        <w:ind w:left="360"/>
        <w:rPr>
          <w:rFonts w:ascii="Arial" w:hAnsi="Arial" w:cs="Arial"/>
          <w:sz w:val="24"/>
          <w:szCs w:val="24"/>
        </w:rPr>
      </w:pPr>
      <w:r w:rsidRPr="006A4C11">
        <w:rPr>
          <w:rFonts w:ascii="Arial" w:hAnsi="Arial" w:cs="Arial"/>
          <w:sz w:val="24"/>
          <w:szCs w:val="24"/>
        </w:rPr>
        <w:t>19 May 2015 – Glasgow (Strathclyde University)</w:t>
      </w:r>
    </w:p>
    <w:p w:rsidR="006A4C11" w:rsidRPr="006A4C11" w:rsidRDefault="006A4C11" w:rsidP="00ED0CCA">
      <w:pPr>
        <w:ind w:left="360"/>
        <w:rPr>
          <w:rFonts w:ascii="Arial" w:hAnsi="Arial" w:cs="Arial"/>
          <w:sz w:val="24"/>
          <w:szCs w:val="24"/>
        </w:rPr>
      </w:pPr>
      <w:r w:rsidRPr="006A4C11">
        <w:rPr>
          <w:rFonts w:ascii="Arial" w:hAnsi="Arial" w:cs="Arial"/>
          <w:sz w:val="24"/>
          <w:szCs w:val="24"/>
        </w:rPr>
        <w:t>21 May 2015 – Inverness (Ironworks)</w:t>
      </w:r>
    </w:p>
    <w:p w:rsidR="006A4C11" w:rsidRPr="006A4C11" w:rsidRDefault="006A4C11" w:rsidP="006A4C11">
      <w:pPr>
        <w:rPr>
          <w:rFonts w:ascii="Arial" w:hAnsi="Arial" w:cs="Arial"/>
          <w:sz w:val="24"/>
          <w:szCs w:val="24"/>
        </w:rPr>
      </w:pPr>
    </w:p>
    <w:p w:rsidR="006A4C11" w:rsidRPr="00ED0CCA"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There will be a national meeting later (to be confirmed). Three meetings of the Review Group will work through the responses to questions. Their schedule of meetings completes in the beginning of July. A period of synthesis and preparation of a report will follow through the summer. It is likely that a final report will be in preparation near the end of the calendar year.</w:t>
      </w:r>
    </w:p>
    <w:p w:rsidR="006A4C11" w:rsidRPr="006A4C11" w:rsidRDefault="006A4C11" w:rsidP="006A4C11">
      <w:pPr>
        <w:rPr>
          <w:rFonts w:ascii="Arial" w:hAnsi="Arial" w:cs="Arial"/>
          <w:sz w:val="24"/>
          <w:szCs w:val="24"/>
        </w:rPr>
      </w:pPr>
    </w:p>
    <w:p w:rsidR="006A4C11" w:rsidRPr="00ED0CCA" w:rsidRDefault="006A4C11" w:rsidP="006A4C11">
      <w:pPr>
        <w:pStyle w:val="ListParagraph"/>
        <w:numPr>
          <w:ilvl w:val="0"/>
          <w:numId w:val="4"/>
        </w:numPr>
        <w:rPr>
          <w:rFonts w:ascii="Arial" w:hAnsi="Arial" w:cs="Arial"/>
          <w:sz w:val="24"/>
          <w:szCs w:val="24"/>
        </w:rPr>
      </w:pPr>
      <w:r w:rsidRPr="00ED0CCA">
        <w:rPr>
          <w:rFonts w:ascii="Arial" w:hAnsi="Arial" w:cs="Arial"/>
          <w:sz w:val="24"/>
          <w:szCs w:val="24"/>
        </w:rPr>
        <w:t xml:space="preserve">NHS Health Scotland, through </w:t>
      </w:r>
      <w:proofErr w:type="spellStart"/>
      <w:r w:rsidRPr="00ED0CCA">
        <w:rPr>
          <w:rFonts w:ascii="Arial" w:hAnsi="Arial" w:cs="Arial"/>
          <w:sz w:val="24"/>
          <w:szCs w:val="24"/>
        </w:rPr>
        <w:t>ScotPHN</w:t>
      </w:r>
      <w:proofErr w:type="spellEnd"/>
      <w:r w:rsidRPr="00ED0CCA">
        <w:rPr>
          <w:rFonts w:ascii="Arial" w:hAnsi="Arial" w:cs="Arial"/>
          <w:sz w:val="24"/>
          <w:szCs w:val="24"/>
        </w:rPr>
        <w:t xml:space="preserve">, is supporting the Scottish Government in the organisation of the regional and national meetings. The organisation will have the opportunity to contribute to Review at its meetings, through informal links with the secretariat and Review Group members, and through support that it has offered for future tasks. At the final Review meeting before the summer break </w:t>
      </w:r>
      <w:r w:rsidRPr="00ED0CCA">
        <w:rPr>
          <w:rFonts w:ascii="Arial" w:hAnsi="Arial" w:cs="Arial"/>
          <w:sz w:val="24"/>
          <w:szCs w:val="24"/>
        </w:rPr>
        <w:lastRenderedPageBreak/>
        <w:t xml:space="preserve">when leadership and succession will be the main focus, </w:t>
      </w:r>
      <w:r w:rsidR="00ED0CCA" w:rsidRPr="00ED0CCA">
        <w:rPr>
          <w:rFonts w:ascii="Arial" w:hAnsi="Arial" w:cs="Arial"/>
          <w:sz w:val="24"/>
          <w:szCs w:val="24"/>
        </w:rPr>
        <w:t>The Director of PHS</w:t>
      </w:r>
      <w:r w:rsidRPr="00ED0CCA">
        <w:rPr>
          <w:rFonts w:ascii="Arial" w:hAnsi="Arial" w:cs="Arial"/>
          <w:sz w:val="24"/>
          <w:szCs w:val="24"/>
        </w:rPr>
        <w:t xml:space="preserve"> will present the work of the Scottish Public Health Workforce Development Group, which he chairs on behalf of the CMO. Group members include Pauline Craig and Wilma Reid. </w:t>
      </w:r>
      <w:r w:rsidR="00ED0CCA" w:rsidRPr="00ED0CCA">
        <w:rPr>
          <w:rFonts w:ascii="Arial" w:hAnsi="Arial" w:cs="Arial"/>
          <w:sz w:val="24"/>
          <w:szCs w:val="24"/>
        </w:rPr>
        <w:t xml:space="preserve"> </w:t>
      </w:r>
      <w:r w:rsidRPr="00ED0CCA">
        <w:rPr>
          <w:rFonts w:ascii="Arial" w:hAnsi="Arial" w:cs="Arial"/>
          <w:sz w:val="24"/>
          <w:szCs w:val="24"/>
        </w:rPr>
        <w:t>The final format of the Review and its outcome is not yet clear. Representatives of NHS Health Scotland maintain close links with the secretariat and members of the Review Group.</w:t>
      </w:r>
    </w:p>
    <w:p w:rsidR="006A4C11" w:rsidRPr="006A4C11" w:rsidRDefault="006A4C11" w:rsidP="006A4C11">
      <w:pPr>
        <w:rPr>
          <w:rFonts w:ascii="Arial" w:hAnsi="Arial" w:cs="Arial"/>
          <w:sz w:val="24"/>
          <w:szCs w:val="24"/>
        </w:rPr>
      </w:pPr>
    </w:p>
    <w:p w:rsidR="006A4C11" w:rsidRPr="00ED0CCA" w:rsidRDefault="006A4C11" w:rsidP="00ED0CCA">
      <w:pPr>
        <w:pStyle w:val="ListParagraph"/>
        <w:numPr>
          <w:ilvl w:val="0"/>
          <w:numId w:val="4"/>
        </w:numPr>
        <w:rPr>
          <w:rFonts w:ascii="Arial" w:hAnsi="Arial" w:cs="Arial"/>
          <w:sz w:val="24"/>
          <w:szCs w:val="24"/>
        </w:rPr>
      </w:pPr>
      <w:r w:rsidRPr="00ED0CCA">
        <w:rPr>
          <w:rFonts w:ascii="Arial" w:hAnsi="Arial" w:cs="Arial"/>
          <w:sz w:val="24"/>
          <w:szCs w:val="24"/>
        </w:rPr>
        <w:t>Board members will wish to be aware of the schedule of meetings and probability that there will be further opportunity to respond to the work of the Review at a later stage, although the format is not yet clear. The Review Group Chair, Dr Wilson, may be willing to meet with a group from NHS Health Scotland at some point – he is meeting with a range of stakeholders - and this may be an option to consider.</w:t>
      </w:r>
    </w:p>
    <w:p w:rsidR="006A4C11" w:rsidRDefault="006A4C11">
      <w:pPr>
        <w:rPr>
          <w:rFonts w:ascii="Arial" w:hAnsi="Arial" w:cs="Arial"/>
          <w:b/>
          <w:sz w:val="24"/>
          <w:szCs w:val="24"/>
        </w:rPr>
      </w:pPr>
    </w:p>
    <w:p w:rsidR="00CC6D3F" w:rsidRPr="00837EE4" w:rsidRDefault="00CC6D3F" w:rsidP="00CC6D3F">
      <w:pPr>
        <w:ind w:left="720" w:hanging="720"/>
        <w:rPr>
          <w:rFonts w:ascii="Arial" w:hAnsi="Arial" w:cs="Arial"/>
          <w:b/>
          <w:sz w:val="24"/>
          <w:szCs w:val="24"/>
        </w:rPr>
      </w:pPr>
      <w:r>
        <w:rPr>
          <w:rFonts w:ascii="Arial" w:hAnsi="Arial" w:cs="Arial"/>
          <w:b/>
          <w:sz w:val="24"/>
          <w:szCs w:val="24"/>
        </w:rPr>
        <w:t>Finance and Resource Implications</w:t>
      </w:r>
    </w:p>
    <w:p w:rsidR="00CC6D3F" w:rsidRDefault="00CC6D3F" w:rsidP="00CC6D3F">
      <w:pPr>
        <w:ind w:left="720" w:hanging="720"/>
        <w:rPr>
          <w:rFonts w:ascii="Arial" w:hAnsi="Arial" w:cs="Arial"/>
          <w:sz w:val="24"/>
          <w:szCs w:val="24"/>
        </w:rPr>
      </w:pPr>
    </w:p>
    <w:p w:rsidR="00CC6D3F" w:rsidRDefault="00CC6D3F" w:rsidP="00CC6D3F">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There are no finance and resource implications as such arising from this paper.</w:t>
      </w:r>
    </w:p>
    <w:p w:rsidR="00CC6D3F" w:rsidRDefault="00CC6D3F" w:rsidP="00CC6D3F">
      <w:pPr>
        <w:ind w:left="540" w:hanging="540"/>
        <w:rPr>
          <w:rFonts w:ascii="Arial" w:hAnsi="Arial" w:cs="Arial"/>
          <w:b/>
          <w:sz w:val="24"/>
          <w:szCs w:val="24"/>
        </w:rPr>
      </w:pPr>
    </w:p>
    <w:p w:rsidR="00CC6D3F" w:rsidRDefault="00CC6D3F" w:rsidP="00CC6D3F">
      <w:pPr>
        <w:ind w:left="540" w:hanging="540"/>
        <w:rPr>
          <w:rFonts w:ascii="Arial" w:hAnsi="Arial" w:cs="Arial"/>
          <w:sz w:val="24"/>
          <w:szCs w:val="24"/>
        </w:rPr>
      </w:pPr>
      <w:r>
        <w:rPr>
          <w:rFonts w:ascii="Arial" w:hAnsi="Arial" w:cs="Arial"/>
          <w:b/>
          <w:sz w:val="24"/>
          <w:szCs w:val="24"/>
        </w:rPr>
        <w:t xml:space="preserve">Communications </w:t>
      </w:r>
    </w:p>
    <w:p w:rsidR="00CC6D3F" w:rsidRDefault="00CC6D3F" w:rsidP="00CC6D3F">
      <w:pPr>
        <w:ind w:left="540" w:hanging="540"/>
        <w:rPr>
          <w:rFonts w:ascii="Arial" w:hAnsi="Arial" w:cs="Arial"/>
          <w:sz w:val="24"/>
          <w:szCs w:val="24"/>
        </w:rPr>
      </w:pPr>
    </w:p>
    <w:p w:rsidR="00CC6D3F" w:rsidRDefault="00CC6D3F" w:rsidP="00CC6D3F">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6361FC" w:rsidRPr="006361FC">
        <w:rPr>
          <w:rFonts w:ascii="Arial" w:hAnsi="Arial" w:cs="Arial"/>
          <w:sz w:val="24"/>
          <w:szCs w:val="24"/>
          <w:lang w:eastAsia="en-GB"/>
        </w:rPr>
        <w:t>Steps to communicate the work of the Review and Health Scotland's response to it are central to the discussion and will form part of the actions arising f</w:t>
      </w:r>
      <w:r w:rsidR="006361FC">
        <w:rPr>
          <w:rFonts w:ascii="Arial" w:hAnsi="Arial" w:cs="Arial"/>
          <w:sz w:val="24"/>
          <w:szCs w:val="24"/>
          <w:lang w:eastAsia="en-GB"/>
        </w:rPr>
        <w:t>rom the item at its conclusion.</w:t>
      </w:r>
      <w:bookmarkStart w:id="0" w:name="_GoBack"/>
      <w:bookmarkEnd w:id="0"/>
      <w:r w:rsidR="006361FC" w:rsidRPr="006361FC">
        <w:rPr>
          <w:rFonts w:ascii="Arial" w:hAnsi="Arial" w:cs="Arial"/>
          <w:sz w:val="24"/>
          <w:szCs w:val="24"/>
          <w:lang w:eastAsia="en-GB"/>
        </w:rPr>
        <w:br/>
      </w:r>
    </w:p>
    <w:p w:rsidR="00CC6D3F" w:rsidRDefault="00CC6D3F" w:rsidP="00CC6D3F">
      <w:pPr>
        <w:ind w:left="540" w:hanging="540"/>
        <w:jc w:val="both"/>
        <w:rPr>
          <w:rFonts w:ascii="Arial" w:hAnsi="Arial" w:cs="Arial"/>
          <w:b/>
          <w:sz w:val="24"/>
          <w:szCs w:val="24"/>
        </w:rPr>
      </w:pPr>
    </w:p>
    <w:p w:rsidR="00CC6D3F" w:rsidRDefault="00CC6D3F" w:rsidP="00CC6D3F">
      <w:pPr>
        <w:ind w:left="540" w:hanging="540"/>
        <w:jc w:val="both"/>
        <w:rPr>
          <w:rFonts w:ascii="Arial" w:hAnsi="Arial" w:cs="Arial"/>
          <w:sz w:val="24"/>
          <w:szCs w:val="24"/>
        </w:rPr>
      </w:pPr>
      <w:r>
        <w:rPr>
          <w:rFonts w:ascii="Arial" w:hAnsi="Arial" w:cs="Arial"/>
          <w:b/>
          <w:sz w:val="24"/>
          <w:szCs w:val="24"/>
        </w:rPr>
        <w:t xml:space="preserve">Risk </w:t>
      </w:r>
    </w:p>
    <w:p w:rsidR="00CC6D3F" w:rsidRDefault="00CC6D3F" w:rsidP="00CC6D3F">
      <w:pPr>
        <w:ind w:left="540" w:hanging="540"/>
        <w:jc w:val="both"/>
        <w:rPr>
          <w:rFonts w:ascii="Arial" w:hAnsi="Arial" w:cs="Arial"/>
          <w:sz w:val="24"/>
          <w:szCs w:val="24"/>
        </w:rPr>
      </w:pPr>
    </w:p>
    <w:p w:rsidR="00CC6D3F" w:rsidRDefault="00CC6D3F" w:rsidP="00CC6D3F">
      <w:pPr>
        <w:tabs>
          <w:tab w:val="left" w:pos="709"/>
        </w:tabs>
        <w:rPr>
          <w:rFonts w:ascii="Arial" w:hAnsi="Arial" w:cs="Arial"/>
          <w:sz w:val="24"/>
          <w:szCs w:val="24"/>
        </w:rPr>
      </w:pPr>
      <w:r>
        <w:rPr>
          <w:rFonts w:ascii="Arial" w:hAnsi="Arial" w:cs="Arial"/>
          <w:sz w:val="24"/>
          <w:szCs w:val="24"/>
        </w:rPr>
        <w:t>14.</w:t>
      </w:r>
      <w:r>
        <w:rPr>
          <w:rFonts w:ascii="Arial" w:hAnsi="Arial" w:cs="Arial"/>
          <w:sz w:val="24"/>
          <w:szCs w:val="24"/>
        </w:rPr>
        <w:tab/>
        <w:t xml:space="preserve">Any risks associated with this update are incorporated within related project  </w:t>
      </w:r>
      <w:r>
        <w:rPr>
          <w:rFonts w:ascii="Arial" w:hAnsi="Arial" w:cs="Arial"/>
          <w:sz w:val="24"/>
          <w:szCs w:val="24"/>
        </w:rPr>
        <w:tab/>
        <w:t>plans.</w:t>
      </w:r>
    </w:p>
    <w:p w:rsidR="00CC6D3F" w:rsidRDefault="00CC6D3F" w:rsidP="00CC6D3F">
      <w:pPr>
        <w:pStyle w:val="ListParagraph"/>
        <w:jc w:val="both"/>
        <w:rPr>
          <w:rFonts w:ascii="Arial" w:hAnsi="Arial" w:cs="Arial"/>
          <w:sz w:val="24"/>
          <w:szCs w:val="24"/>
        </w:rPr>
      </w:pPr>
    </w:p>
    <w:p w:rsidR="00CC6D3F" w:rsidRDefault="00CC6D3F" w:rsidP="00CC6D3F">
      <w:pPr>
        <w:ind w:left="540" w:hanging="540"/>
        <w:jc w:val="both"/>
        <w:rPr>
          <w:rFonts w:ascii="Arial" w:hAnsi="Arial" w:cs="Arial"/>
          <w:sz w:val="24"/>
          <w:szCs w:val="24"/>
        </w:rPr>
      </w:pPr>
      <w:r>
        <w:rPr>
          <w:rFonts w:ascii="Arial" w:hAnsi="Arial" w:cs="Arial"/>
          <w:b/>
          <w:sz w:val="24"/>
          <w:szCs w:val="24"/>
        </w:rPr>
        <w:t xml:space="preserve">Equality and Diversity </w:t>
      </w:r>
    </w:p>
    <w:p w:rsidR="00CC6D3F" w:rsidRDefault="00CC6D3F" w:rsidP="00CC6D3F">
      <w:pPr>
        <w:ind w:left="540" w:hanging="540"/>
        <w:jc w:val="both"/>
        <w:rPr>
          <w:rFonts w:ascii="Arial" w:hAnsi="Arial" w:cs="Arial"/>
          <w:sz w:val="24"/>
          <w:szCs w:val="24"/>
        </w:rPr>
      </w:pPr>
    </w:p>
    <w:p w:rsidR="00CC6D3F" w:rsidRDefault="00CC6D3F" w:rsidP="00CC6D3F">
      <w:pPr>
        <w:jc w:val="both"/>
        <w:rPr>
          <w:rFonts w:ascii="Arial" w:hAnsi="Arial" w:cs="Arial"/>
          <w:sz w:val="24"/>
          <w:szCs w:val="24"/>
        </w:rPr>
      </w:pPr>
      <w:r>
        <w:rPr>
          <w:rFonts w:ascii="Arial" w:hAnsi="Arial" w:cs="Arial"/>
          <w:sz w:val="24"/>
          <w:szCs w:val="24"/>
        </w:rPr>
        <w:t>15.</w:t>
      </w:r>
      <w:r>
        <w:rPr>
          <w:rFonts w:ascii="Arial" w:hAnsi="Arial" w:cs="Arial"/>
          <w:sz w:val="24"/>
          <w:szCs w:val="24"/>
        </w:rPr>
        <w:tab/>
        <w:t>There are no specific equality and diversity issues arising from this paper.</w:t>
      </w:r>
    </w:p>
    <w:p w:rsidR="00CC6D3F" w:rsidRDefault="00CC6D3F" w:rsidP="00CC6D3F">
      <w:pPr>
        <w:ind w:left="540" w:hanging="540"/>
        <w:jc w:val="both"/>
        <w:rPr>
          <w:rFonts w:ascii="Arial" w:hAnsi="Arial" w:cs="Arial"/>
          <w:sz w:val="24"/>
          <w:szCs w:val="24"/>
        </w:rPr>
      </w:pPr>
    </w:p>
    <w:p w:rsidR="00CC6D3F" w:rsidRDefault="00CC6D3F" w:rsidP="00CC6D3F">
      <w:pPr>
        <w:ind w:left="540" w:hanging="540"/>
        <w:jc w:val="both"/>
        <w:rPr>
          <w:rFonts w:ascii="Arial" w:hAnsi="Arial" w:cs="Arial"/>
          <w:sz w:val="24"/>
          <w:szCs w:val="24"/>
        </w:rPr>
      </w:pPr>
      <w:r>
        <w:rPr>
          <w:rFonts w:ascii="Arial" w:hAnsi="Arial" w:cs="Arial"/>
          <w:b/>
          <w:sz w:val="24"/>
          <w:szCs w:val="24"/>
        </w:rPr>
        <w:t xml:space="preserve">Environment </w:t>
      </w:r>
    </w:p>
    <w:p w:rsidR="00CC6D3F" w:rsidRDefault="00CC6D3F" w:rsidP="00CC6D3F">
      <w:pPr>
        <w:ind w:left="540" w:hanging="540"/>
        <w:jc w:val="both"/>
        <w:rPr>
          <w:rFonts w:ascii="Arial" w:hAnsi="Arial" w:cs="Arial"/>
          <w:sz w:val="24"/>
          <w:szCs w:val="24"/>
        </w:rPr>
      </w:pPr>
    </w:p>
    <w:p w:rsidR="00CC6D3F" w:rsidRDefault="00CC6D3F" w:rsidP="00CC6D3F">
      <w:pPr>
        <w:jc w:val="both"/>
        <w:rPr>
          <w:rFonts w:ascii="Arial" w:hAnsi="Arial" w:cs="Arial"/>
          <w:sz w:val="24"/>
          <w:szCs w:val="24"/>
        </w:rPr>
      </w:pPr>
      <w:r>
        <w:rPr>
          <w:rFonts w:ascii="Arial" w:hAnsi="Arial" w:cs="Arial"/>
          <w:sz w:val="24"/>
          <w:szCs w:val="24"/>
        </w:rPr>
        <w:t>16.</w:t>
      </w:r>
      <w:r>
        <w:rPr>
          <w:rFonts w:ascii="Arial" w:hAnsi="Arial" w:cs="Arial"/>
          <w:sz w:val="24"/>
          <w:szCs w:val="24"/>
        </w:rPr>
        <w:tab/>
        <w:t>There are no specific environmental issues arising from this paper.</w:t>
      </w:r>
    </w:p>
    <w:p w:rsidR="00CC6D3F" w:rsidRDefault="00CC6D3F" w:rsidP="00CC6D3F">
      <w:pPr>
        <w:ind w:left="540" w:hanging="540"/>
        <w:jc w:val="both"/>
        <w:rPr>
          <w:rFonts w:ascii="Arial" w:hAnsi="Arial" w:cs="Arial"/>
          <w:sz w:val="24"/>
          <w:szCs w:val="24"/>
        </w:rPr>
      </w:pPr>
    </w:p>
    <w:p w:rsidR="00CC6D3F" w:rsidRDefault="00CC6D3F" w:rsidP="00CC6D3F">
      <w:pPr>
        <w:ind w:left="540" w:hanging="540"/>
        <w:jc w:val="both"/>
        <w:rPr>
          <w:rFonts w:ascii="Arial" w:hAnsi="Arial" w:cs="Arial"/>
          <w:sz w:val="24"/>
          <w:szCs w:val="24"/>
        </w:rPr>
      </w:pPr>
      <w:r>
        <w:rPr>
          <w:rFonts w:ascii="Arial" w:hAnsi="Arial" w:cs="Arial"/>
          <w:b/>
          <w:sz w:val="24"/>
          <w:szCs w:val="24"/>
        </w:rPr>
        <w:t xml:space="preserve">Action/Recommendations </w:t>
      </w:r>
    </w:p>
    <w:p w:rsidR="00CC6D3F" w:rsidRDefault="00CC6D3F" w:rsidP="00CC6D3F">
      <w:pPr>
        <w:ind w:left="540" w:hanging="540"/>
        <w:jc w:val="both"/>
        <w:rPr>
          <w:rFonts w:ascii="Arial" w:hAnsi="Arial" w:cs="Arial"/>
          <w:sz w:val="24"/>
          <w:szCs w:val="24"/>
        </w:rPr>
      </w:pPr>
    </w:p>
    <w:p w:rsidR="00CC6D3F" w:rsidRDefault="00CC6D3F" w:rsidP="00CC6D3F">
      <w:pPr>
        <w:ind w:left="540" w:hanging="540"/>
        <w:rPr>
          <w:rFonts w:ascii="Arial" w:hAnsi="Arial" w:cs="Arial"/>
          <w:sz w:val="24"/>
          <w:szCs w:val="24"/>
        </w:rPr>
      </w:pPr>
      <w:r>
        <w:rPr>
          <w:rFonts w:ascii="Arial" w:hAnsi="Arial" w:cs="Arial"/>
          <w:sz w:val="24"/>
          <w:szCs w:val="24"/>
        </w:rPr>
        <w:t>17.</w:t>
      </w:r>
      <w:r>
        <w:rPr>
          <w:rFonts w:ascii="Arial" w:hAnsi="Arial" w:cs="Arial"/>
          <w:sz w:val="24"/>
          <w:szCs w:val="24"/>
        </w:rPr>
        <w:tab/>
      </w:r>
      <w:r w:rsidRPr="006A4C11">
        <w:rPr>
          <w:rFonts w:ascii="Arial" w:hAnsi="Arial" w:cs="Arial"/>
          <w:sz w:val="24"/>
          <w:szCs w:val="24"/>
        </w:rPr>
        <w:t>The Board is asked to note the response from NHS Health Scotland, and offer advice on next steps</w:t>
      </w:r>
    </w:p>
    <w:p w:rsidR="00CC6D3F" w:rsidRDefault="00CC6D3F" w:rsidP="00CC6D3F">
      <w:pPr>
        <w:jc w:val="both"/>
        <w:rPr>
          <w:rFonts w:ascii="Arial" w:hAnsi="Arial" w:cs="Arial"/>
          <w:sz w:val="24"/>
          <w:szCs w:val="24"/>
        </w:rPr>
      </w:pPr>
    </w:p>
    <w:p w:rsidR="00ED0CCA" w:rsidRPr="006A4C11" w:rsidRDefault="00ED0CCA">
      <w:pPr>
        <w:rPr>
          <w:rFonts w:ascii="Arial" w:hAnsi="Arial" w:cs="Arial"/>
          <w:b/>
          <w:sz w:val="24"/>
          <w:szCs w:val="24"/>
        </w:rPr>
      </w:pPr>
    </w:p>
    <w:sectPr w:rsidR="00ED0CCA" w:rsidRPr="006A4C11" w:rsidSect="003F049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494" w:rsidRDefault="003F0494" w:rsidP="003F0494">
      <w:r>
        <w:separator/>
      </w:r>
    </w:p>
  </w:endnote>
  <w:endnote w:type="continuationSeparator" w:id="0">
    <w:p w:rsidR="003F0494" w:rsidRDefault="003F0494" w:rsidP="003F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95432"/>
      <w:docPartObj>
        <w:docPartGallery w:val="Page Numbers (Bottom of Page)"/>
        <w:docPartUnique/>
      </w:docPartObj>
    </w:sdtPr>
    <w:sdtEndPr>
      <w:rPr>
        <w:noProof/>
      </w:rPr>
    </w:sdtEndPr>
    <w:sdtContent>
      <w:p w:rsidR="003F0494" w:rsidRDefault="003F0494">
        <w:pPr>
          <w:pStyle w:val="Footer"/>
          <w:jc w:val="right"/>
        </w:pPr>
        <w:r>
          <w:fldChar w:fldCharType="begin"/>
        </w:r>
        <w:r>
          <w:instrText xml:space="preserve"> PAGE   \* MERGEFORMAT </w:instrText>
        </w:r>
        <w:r>
          <w:fldChar w:fldCharType="separate"/>
        </w:r>
        <w:r w:rsidR="006361FC">
          <w:rPr>
            <w:noProof/>
          </w:rPr>
          <w:t>3</w:t>
        </w:r>
        <w:r>
          <w:rPr>
            <w:noProof/>
          </w:rPr>
          <w:fldChar w:fldCharType="end"/>
        </w:r>
      </w:p>
    </w:sdtContent>
  </w:sdt>
  <w:p w:rsidR="003F0494" w:rsidRDefault="003F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494" w:rsidRDefault="003F0494" w:rsidP="003F0494">
      <w:r>
        <w:separator/>
      </w:r>
    </w:p>
  </w:footnote>
  <w:footnote w:type="continuationSeparator" w:id="0">
    <w:p w:rsidR="003F0494" w:rsidRDefault="003F0494" w:rsidP="003F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94" w:rsidRPr="003F0494" w:rsidRDefault="003F0494" w:rsidP="003F0494">
    <w:pPr>
      <w:pStyle w:val="Header"/>
      <w:jc w:val="right"/>
      <w:rPr>
        <w:rFonts w:ascii="Arial" w:hAnsi="Arial" w:cs="Arial"/>
        <w:b/>
        <w:sz w:val="24"/>
        <w:szCs w:val="24"/>
      </w:rPr>
    </w:pPr>
    <w:r w:rsidRPr="003F0494">
      <w:rPr>
        <w:rFonts w:ascii="Arial" w:hAnsi="Arial" w:cs="Arial"/>
        <w:b/>
        <w:sz w:val="24"/>
        <w:szCs w:val="24"/>
      </w:rPr>
      <w:t>HS Paper 12/15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212"/>
    <w:multiLevelType w:val="hybridMultilevel"/>
    <w:tmpl w:val="C2A83B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A67412"/>
    <w:multiLevelType w:val="hybridMultilevel"/>
    <w:tmpl w:val="2342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68420D"/>
    <w:multiLevelType w:val="hybridMultilevel"/>
    <w:tmpl w:val="BA60A2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7966959"/>
    <w:multiLevelType w:val="hybridMultilevel"/>
    <w:tmpl w:val="9EC2283C"/>
    <w:lvl w:ilvl="0" w:tplc="266077AE">
      <w:start w:val="1"/>
      <w:numFmt w:val="decimal"/>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11"/>
    <w:rsid w:val="003F0494"/>
    <w:rsid w:val="0062677C"/>
    <w:rsid w:val="006361FC"/>
    <w:rsid w:val="006A4C11"/>
    <w:rsid w:val="00A056D2"/>
    <w:rsid w:val="00CC6D3F"/>
    <w:rsid w:val="00D41690"/>
    <w:rsid w:val="00E13025"/>
    <w:rsid w:val="00ED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6A4C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A4C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4C1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6A4C11"/>
    <w:rPr>
      <w:rFonts w:ascii="Arial" w:eastAsia="Times New Roman" w:hAnsi="Arial" w:cs="Arial"/>
      <w:b/>
      <w:bCs/>
      <w:sz w:val="26"/>
      <w:szCs w:val="26"/>
    </w:rPr>
  </w:style>
  <w:style w:type="paragraph" w:styleId="Header">
    <w:name w:val="header"/>
    <w:basedOn w:val="Normal"/>
    <w:link w:val="HeaderChar"/>
    <w:unhideWhenUsed/>
    <w:rsid w:val="006A4C11"/>
    <w:pPr>
      <w:tabs>
        <w:tab w:val="center" w:pos="4320"/>
        <w:tab w:val="right" w:pos="8640"/>
      </w:tabs>
    </w:pPr>
  </w:style>
  <w:style w:type="character" w:customStyle="1" w:styleId="HeaderChar">
    <w:name w:val="Header Char"/>
    <w:basedOn w:val="DefaultParagraphFont"/>
    <w:link w:val="Header"/>
    <w:rsid w:val="006A4C11"/>
    <w:rPr>
      <w:rFonts w:ascii="Times New Roman" w:eastAsia="Times New Roman" w:hAnsi="Times New Roman" w:cs="Times New Roman"/>
      <w:sz w:val="20"/>
      <w:szCs w:val="20"/>
    </w:rPr>
  </w:style>
  <w:style w:type="paragraph" w:styleId="ListParagraph">
    <w:name w:val="List Paragraph"/>
    <w:basedOn w:val="Normal"/>
    <w:uiPriority w:val="34"/>
    <w:qFormat/>
    <w:rsid w:val="006A4C11"/>
    <w:pPr>
      <w:ind w:left="720"/>
    </w:pPr>
    <w:rPr>
      <w:rFonts w:ascii="Calibri" w:eastAsia="Calibri" w:hAnsi="Calibri" w:cs="Calibri"/>
      <w:sz w:val="22"/>
      <w:szCs w:val="22"/>
    </w:rPr>
  </w:style>
  <w:style w:type="character" w:customStyle="1" w:styleId="BodytextChar">
    <w:name w:val="Body text Char"/>
    <w:link w:val="BodyText1"/>
    <w:locked/>
    <w:rsid w:val="006A4C11"/>
    <w:rPr>
      <w:rFonts w:ascii="Arial" w:hAnsi="Arial" w:cs="Arial"/>
      <w:sz w:val="24"/>
    </w:rPr>
  </w:style>
  <w:style w:type="paragraph" w:customStyle="1" w:styleId="BodyText1">
    <w:name w:val="Body Text1"/>
    <w:basedOn w:val="Normal"/>
    <w:link w:val="BodytextChar"/>
    <w:qFormat/>
    <w:rsid w:val="006A4C11"/>
    <w:pPr>
      <w:spacing w:after="200" w:line="276" w:lineRule="auto"/>
    </w:pPr>
    <w:rPr>
      <w:rFonts w:ascii="Arial" w:eastAsiaTheme="minorHAnsi" w:hAnsi="Arial" w:cs="Arial"/>
      <w:sz w:val="24"/>
      <w:szCs w:val="22"/>
    </w:rPr>
  </w:style>
  <w:style w:type="paragraph" w:customStyle="1" w:styleId="Default">
    <w:name w:val="Default"/>
    <w:rsid w:val="006A4C1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A4C11"/>
    <w:rPr>
      <w:rFonts w:ascii="Tahoma" w:hAnsi="Tahoma" w:cs="Tahoma"/>
      <w:sz w:val="16"/>
      <w:szCs w:val="16"/>
    </w:rPr>
  </w:style>
  <w:style w:type="character" w:customStyle="1" w:styleId="BalloonTextChar">
    <w:name w:val="Balloon Text Char"/>
    <w:basedOn w:val="DefaultParagraphFont"/>
    <w:link w:val="BalloonText"/>
    <w:uiPriority w:val="99"/>
    <w:semiHidden/>
    <w:rsid w:val="006A4C11"/>
    <w:rPr>
      <w:rFonts w:ascii="Tahoma" w:eastAsia="Times New Roman" w:hAnsi="Tahoma" w:cs="Tahoma"/>
      <w:sz w:val="16"/>
      <w:szCs w:val="16"/>
    </w:rPr>
  </w:style>
  <w:style w:type="paragraph" w:styleId="Footer">
    <w:name w:val="footer"/>
    <w:basedOn w:val="Normal"/>
    <w:link w:val="FooterChar"/>
    <w:uiPriority w:val="99"/>
    <w:unhideWhenUsed/>
    <w:rsid w:val="003F0494"/>
    <w:pPr>
      <w:tabs>
        <w:tab w:val="center" w:pos="4513"/>
        <w:tab w:val="right" w:pos="9026"/>
      </w:tabs>
    </w:pPr>
  </w:style>
  <w:style w:type="character" w:customStyle="1" w:styleId="FooterChar">
    <w:name w:val="Footer Char"/>
    <w:basedOn w:val="DefaultParagraphFont"/>
    <w:link w:val="Footer"/>
    <w:uiPriority w:val="99"/>
    <w:rsid w:val="003F049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6A4C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A4C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4C1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6A4C11"/>
    <w:rPr>
      <w:rFonts w:ascii="Arial" w:eastAsia="Times New Roman" w:hAnsi="Arial" w:cs="Arial"/>
      <w:b/>
      <w:bCs/>
      <w:sz w:val="26"/>
      <w:szCs w:val="26"/>
    </w:rPr>
  </w:style>
  <w:style w:type="paragraph" w:styleId="Header">
    <w:name w:val="header"/>
    <w:basedOn w:val="Normal"/>
    <w:link w:val="HeaderChar"/>
    <w:unhideWhenUsed/>
    <w:rsid w:val="006A4C11"/>
    <w:pPr>
      <w:tabs>
        <w:tab w:val="center" w:pos="4320"/>
        <w:tab w:val="right" w:pos="8640"/>
      </w:tabs>
    </w:pPr>
  </w:style>
  <w:style w:type="character" w:customStyle="1" w:styleId="HeaderChar">
    <w:name w:val="Header Char"/>
    <w:basedOn w:val="DefaultParagraphFont"/>
    <w:link w:val="Header"/>
    <w:rsid w:val="006A4C11"/>
    <w:rPr>
      <w:rFonts w:ascii="Times New Roman" w:eastAsia="Times New Roman" w:hAnsi="Times New Roman" w:cs="Times New Roman"/>
      <w:sz w:val="20"/>
      <w:szCs w:val="20"/>
    </w:rPr>
  </w:style>
  <w:style w:type="paragraph" w:styleId="ListParagraph">
    <w:name w:val="List Paragraph"/>
    <w:basedOn w:val="Normal"/>
    <w:uiPriority w:val="34"/>
    <w:qFormat/>
    <w:rsid w:val="006A4C11"/>
    <w:pPr>
      <w:ind w:left="720"/>
    </w:pPr>
    <w:rPr>
      <w:rFonts w:ascii="Calibri" w:eastAsia="Calibri" w:hAnsi="Calibri" w:cs="Calibri"/>
      <w:sz w:val="22"/>
      <w:szCs w:val="22"/>
    </w:rPr>
  </w:style>
  <w:style w:type="character" w:customStyle="1" w:styleId="BodytextChar">
    <w:name w:val="Body text Char"/>
    <w:link w:val="BodyText1"/>
    <w:locked/>
    <w:rsid w:val="006A4C11"/>
    <w:rPr>
      <w:rFonts w:ascii="Arial" w:hAnsi="Arial" w:cs="Arial"/>
      <w:sz w:val="24"/>
    </w:rPr>
  </w:style>
  <w:style w:type="paragraph" w:customStyle="1" w:styleId="BodyText1">
    <w:name w:val="Body Text1"/>
    <w:basedOn w:val="Normal"/>
    <w:link w:val="BodytextChar"/>
    <w:qFormat/>
    <w:rsid w:val="006A4C11"/>
    <w:pPr>
      <w:spacing w:after="200" w:line="276" w:lineRule="auto"/>
    </w:pPr>
    <w:rPr>
      <w:rFonts w:ascii="Arial" w:eastAsiaTheme="minorHAnsi" w:hAnsi="Arial" w:cs="Arial"/>
      <w:sz w:val="24"/>
      <w:szCs w:val="22"/>
    </w:rPr>
  </w:style>
  <w:style w:type="paragraph" w:customStyle="1" w:styleId="Default">
    <w:name w:val="Default"/>
    <w:rsid w:val="006A4C1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A4C11"/>
    <w:rPr>
      <w:rFonts w:ascii="Tahoma" w:hAnsi="Tahoma" w:cs="Tahoma"/>
      <w:sz w:val="16"/>
      <w:szCs w:val="16"/>
    </w:rPr>
  </w:style>
  <w:style w:type="character" w:customStyle="1" w:styleId="BalloonTextChar">
    <w:name w:val="Balloon Text Char"/>
    <w:basedOn w:val="DefaultParagraphFont"/>
    <w:link w:val="BalloonText"/>
    <w:uiPriority w:val="99"/>
    <w:semiHidden/>
    <w:rsid w:val="006A4C11"/>
    <w:rPr>
      <w:rFonts w:ascii="Tahoma" w:eastAsia="Times New Roman" w:hAnsi="Tahoma" w:cs="Tahoma"/>
      <w:sz w:val="16"/>
      <w:szCs w:val="16"/>
    </w:rPr>
  </w:style>
  <w:style w:type="paragraph" w:styleId="Footer">
    <w:name w:val="footer"/>
    <w:basedOn w:val="Normal"/>
    <w:link w:val="FooterChar"/>
    <w:uiPriority w:val="99"/>
    <w:unhideWhenUsed/>
    <w:rsid w:val="003F0494"/>
    <w:pPr>
      <w:tabs>
        <w:tab w:val="center" w:pos="4513"/>
        <w:tab w:val="right" w:pos="9026"/>
      </w:tabs>
    </w:pPr>
  </w:style>
  <w:style w:type="character" w:customStyle="1" w:styleId="FooterChar">
    <w:name w:val="Footer Char"/>
    <w:basedOn w:val="DefaultParagraphFont"/>
    <w:link w:val="Footer"/>
    <w:uiPriority w:val="99"/>
    <w:rsid w:val="003F04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7571">
      <w:bodyDiv w:val="1"/>
      <w:marLeft w:val="0"/>
      <w:marRight w:val="0"/>
      <w:marTop w:val="0"/>
      <w:marBottom w:val="0"/>
      <w:divBdr>
        <w:top w:val="none" w:sz="0" w:space="0" w:color="auto"/>
        <w:left w:val="none" w:sz="0" w:space="0" w:color="auto"/>
        <w:bottom w:val="none" w:sz="0" w:space="0" w:color="auto"/>
        <w:right w:val="none" w:sz="0" w:space="0" w:color="auto"/>
      </w:divBdr>
    </w:div>
    <w:div w:id="820388337">
      <w:bodyDiv w:val="1"/>
      <w:marLeft w:val="0"/>
      <w:marRight w:val="0"/>
      <w:marTop w:val="0"/>
      <w:marBottom w:val="0"/>
      <w:divBdr>
        <w:top w:val="none" w:sz="0" w:space="0" w:color="auto"/>
        <w:left w:val="none" w:sz="0" w:space="0" w:color="auto"/>
        <w:bottom w:val="none" w:sz="0" w:space="0" w:color="auto"/>
        <w:right w:val="none" w:sz="0" w:space="0" w:color="auto"/>
      </w:divBdr>
    </w:div>
    <w:div w:id="1432697184">
      <w:bodyDiv w:val="1"/>
      <w:marLeft w:val="0"/>
      <w:marRight w:val="0"/>
      <w:marTop w:val="0"/>
      <w:marBottom w:val="0"/>
      <w:divBdr>
        <w:top w:val="none" w:sz="0" w:space="0" w:color="auto"/>
        <w:left w:val="none" w:sz="0" w:space="0" w:color="auto"/>
        <w:bottom w:val="none" w:sz="0" w:space="0" w:color="auto"/>
        <w:right w:val="none" w:sz="0" w:space="0" w:color="auto"/>
      </w:divBdr>
    </w:div>
    <w:div w:id="1685665303">
      <w:bodyDiv w:val="1"/>
      <w:marLeft w:val="0"/>
      <w:marRight w:val="0"/>
      <w:marTop w:val="0"/>
      <w:marBottom w:val="0"/>
      <w:divBdr>
        <w:top w:val="none" w:sz="0" w:space="0" w:color="auto"/>
        <w:left w:val="none" w:sz="0" w:space="0" w:color="auto"/>
        <w:bottom w:val="none" w:sz="0" w:space="0" w:color="auto"/>
        <w:right w:val="none" w:sz="0" w:space="0" w:color="auto"/>
      </w:divBdr>
    </w:div>
    <w:div w:id="20538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Kerrigan</dc:creator>
  <cp:lastModifiedBy>Marie Kerrigan</cp:lastModifiedBy>
  <cp:revision>6</cp:revision>
  <dcterms:created xsi:type="dcterms:W3CDTF">2015-03-20T09:37:00Z</dcterms:created>
  <dcterms:modified xsi:type="dcterms:W3CDTF">2015-03-20T11:04:00Z</dcterms:modified>
</cp:coreProperties>
</file>