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F4" w:rsidRDefault="008658F4" w:rsidP="008658F4">
      <w:pPr>
        <w:jc w:val="right"/>
        <w:rPr>
          <w:rFonts w:ascii="Arial" w:hAnsi="Arial" w:cs="Arial"/>
          <w:sz w:val="24"/>
          <w:szCs w:val="24"/>
        </w:rPr>
      </w:pPr>
      <w:r>
        <w:rPr>
          <w:rFonts w:ascii="Arial" w:hAnsi="Arial" w:cs="Arial"/>
          <w:noProof/>
          <w:sz w:val="24"/>
          <w:szCs w:val="24"/>
          <w:lang w:eastAsia="en-GB"/>
        </w:rPr>
        <w:drawing>
          <wp:inline distT="0" distB="0" distL="0" distR="0">
            <wp:extent cx="1000125" cy="866775"/>
            <wp:effectExtent l="0" t="0" r="9525" b="9525"/>
            <wp:docPr id="1" name="Picture 1" descr="Description: Description: 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S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rsidR="008658F4" w:rsidRDefault="008658F4" w:rsidP="008658F4">
      <w:pPr>
        <w:rPr>
          <w:rFonts w:ascii="Arial" w:hAnsi="Arial" w:cs="Arial"/>
          <w:sz w:val="24"/>
          <w:szCs w:val="24"/>
        </w:rPr>
      </w:pPr>
    </w:p>
    <w:p w:rsidR="008658F4" w:rsidRDefault="008658F4" w:rsidP="008658F4">
      <w:pPr>
        <w:rPr>
          <w:rFonts w:ascii="Arial" w:hAnsi="Arial" w:cs="Arial"/>
          <w:sz w:val="24"/>
          <w:szCs w:val="24"/>
        </w:rPr>
      </w:pPr>
    </w:p>
    <w:p w:rsidR="008658F4" w:rsidRDefault="008658F4" w:rsidP="008658F4">
      <w:pPr>
        <w:jc w:val="right"/>
        <w:rPr>
          <w:rFonts w:ascii="Arial" w:hAnsi="Arial" w:cs="Arial"/>
          <w:b/>
          <w:sz w:val="24"/>
          <w:szCs w:val="24"/>
        </w:rPr>
      </w:pPr>
      <w:r>
        <w:rPr>
          <w:rFonts w:ascii="Arial" w:hAnsi="Arial" w:cs="Arial"/>
          <w:b/>
          <w:sz w:val="24"/>
          <w:szCs w:val="24"/>
        </w:rPr>
        <w:t xml:space="preserve">HS Paper 16/15 </w:t>
      </w:r>
    </w:p>
    <w:p w:rsidR="008658F4" w:rsidRDefault="008658F4" w:rsidP="008658F4">
      <w:pPr>
        <w:rPr>
          <w:rFonts w:ascii="Arial" w:hAnsi="Arial" w:cs="Arial"/>
          <w:sz w:val="24"/>
          <w:szCs w:val="24"/>
        </w:rPr>
      </w:pPr>
    </w:p>
    <w:p w:rsidR="008658F4" w:rsidRDefault="008658F4" w:rsidP="008658F4">
      <w:pPr>
        <w:rPr>
          <w:rFonts w:ascii="Arial" w:hAnsi="Arial" w:cs="Arial"/>
          <w:b/>
          <w:sz w:val="24"/>
          <w:szCs w:val="24"/>
        </w:rPr>
      </w:pPr>
    </w:p>
    <w:p w:rsidR="008658F4" w:rsidRDefault="008658F4" w:rsidP="008658F4">
      <w:pPr>
        <w:rPr>
          <w:rFonts w:ascii="Arial" w:hAnsi="Arial" w:cs="Arial"/>
          <w:b/>
          <w:sz w:val="24"/>
          <w:szCs w:val="24"/>
        </w:rPr>
      </w:pPr>
    </w:p>
    <w:p w:rsidR="008658F4" w:rsidRDefault="008658F4" w:rsidP="008658F4">
      <w:pPr>
        <w:rPr>
          <w:rFonts w:ascii="Arial" w:hAnsi="Arial" w:cs="Arial"/>
          <w:b/>
          <w:sz w:val="24"/>
          <w:szCs w:val="24"/>
        </w:rPr>
      </w:pPr>
      <w:r>
        <w:rPr>
          <w:rFonts w:ascii="Arial" w:hAnsi="Arial" w:cs="Arial"/>
          <w:b/>
          <w:sz w:val="24"/>
          <w:szCs w:val="24"/>
        </w:rPr>
        <w:t>BOARD MEETING: 29 MAY 2015</w:t>
      </w:r>
    </w:p>
    <w:p w:rsidR="008658F4" w:rsidRDefault="008658F4" w:rsidP="008658F4">
      <w:pPr>
        <w:rPr>
          <w:rFonts w:ascii="Arial" w:hAnsi="Arial" w:cs="Arial"/>
          <w:sz w:val="24"/>
          <w:szCs w:val="24"/>
        </w:rPr>
      </w:pPr>
    </w:p>
    <w:p w:rsidR="008658F4" w:rsidRDefault="008658F4" w:rsidP="008658F4">
      <w:pPr>
        <w:rPr>
          <w:rFonts w:ascii="Arial" w:hAnsi="Arial" w:cs="Arial"/>
          <w:sz w:val="24"/>
          <w:szCs w:val="24"/>
        </w:rPr>
      </w:pPr>
    </w:p>
    <w:p w:rsidR="008658F4" w:rsidRDefault="008658F4" w:rsidP="008658F4">
      <w:pPr>
        <w:rPr>
          <w:rFonts w:ascii="Arial" w:hAnsi="Arial" w:cs="Arial"/>
          <w:b/>
          <w:sz w:val="24"/>
          <w:szCs w:val="24"/>
        </w:rPr>
      </w:pPr>
      <w:r>
        <w:rPr>
          <w:rFonts w:ascii="Arial" w:hAnsi="Arial" w:cs="Arial"/>
          <w:b/>
          <w:sz w:val="24"/>
          <w:szCs w:val="24"/>
        </w:rPr>
        <w:t>CHIEF EXECUTIVE’S UPDATE</w:t>
      </w:r>
    </w:p>
    <w:p w:rsidR="008658F4" w:rsidRDefault="008658F4" w:rsidP="008658F4">
      <w:pPr>
        <w:rPr>
          <w:rFonts w:ascii="Arial" w:hAnsi="Arial" w:cs="Arial"/>
          <w:sz w:val="24"/>
          <w:szCs w:val="24"/>
        </w:rPr>
      </w:pPr>
    </w:p>
    <w:p w:rsidR="008658F4" w:rsidRDefault="008658F4" w:rsidP="008658F4">
      <w:pPr>
        <w:rPr>
          <w:rFonts w:ascii="Arial" w:hAnsi="Arial" w:cs="Arial"/>
          <w:sz w:val="24"/>
          <w:szCs w:val="24"/>
        </w:rPr>
      </w:pPr>
    </w:p>
    <w:p w:rsidR="008658F4" w:rsidRDefault="008658F4" w:rsidP="008658F4">
      <w:pPr>
        <w:rPr>
          <w:rFonts w:ascii="Arial" w:hAnsi="Arial" w:cs="Arial"/>
          <w:sz w:val="24"/>
          <w:szCs w:val="24"/>
        </w:rPr>
      </w:pPr>
    </w:p>
    <w:p w:rsidR="008658F4" w:rsidRDefault="008658F4" w:rsidP="008658F4">
      <w:pPr>
        <w:pStyle w:val="Heading3"/>
        <w:spacing w:before="0" w:after="0"/>
        <w:rPr>
          <w:color w:val="000000"/>
          <w:sz w:val="24"/>
          <w:szCs w:val="24"/>
        </w:rPr>
      </w:pPr>
      <w:r>
        <w:rPr>
          <w:color w:val="000000"/>
          <w:sz w:val="24"/>
          <w:szCs w:val="24"/>
        </w:rPr>
        <w:t>Recommendation/action required:</w:t>
      </w:r>
    </w:p>
    <w:p w:rsidR="008658F4" w:rsidRDefault="008658F4" w:rsidP="008658F4">
      <w:pPr>
        <w:rPr>
          <w:rFonts w:ascii="Arial" w:hAnsi="Arial" w:cs="Arial"/>
          <w:sz w:val="24"/>
          <w:szCs w:val="24"/>
        </w:rPr>
      </w:pPr>
    </w:p>
    <w:tbl>
      <w:tblPr>
        <w:tblStyle w:val="TableGrid"/>
        <w:tblW w:w="0" w:type="auto"/>
        <w:tblLook w:val="01E0" w:firstRow="1" w:lastRow="1" w:firstColumn="1" w:lastColumn="1" w:noHBand="0" w:noVBand="0"/>
      </w:tblPr>
      <w:tblGrid>
        <w:gridCol w:w="9242"/>
      </w:tblGrid>
      <w:tr w:rsidR="008658F4" w:rsidTr="008658F4">
        <w:tc>
          <w:tcPr>
            <w:tcW w:w="9344" w:type="dxa"/>
            <w:tcBorders>
              <w:top w:val="single" w:sz="4" w:space="0" w:color="auto"/>
              <w:left w:val="single" w:sz="4" w:space="0" w:color="auto"/>
              <w:bottom w:val="single" w:sz="4" w:space="0" w:color="auto"/>
              <w:right w:val="single" w:sz="4" w:space="0" w:color="auto"/>
            </w:tcBorders>
          </w:tcPr>
          <w:p w:rsidR="008658F4" w:rsidRDefault="008658F4">
            <w:pPr>
              <w:rPr>
                <w:rFonts w:ascii="Arial" w:hAnsi="Arial" w:cs="Arial"/>
                <w:sz w:val="24"/>
                <w:szCs w:val="24"/>
              </w:rPr>
            </w:pPr>
          </w:p>
          <w:p w:rsidR="008658F4" w:rsidRDefault="008658F4">
            <w:pPr>
              <w:jc w:val="both"/>
              <w:rPr>
                <w:rFonts w:ascii="Arial" w:hAnsi="Arial" w:cs="Arial"/>
                <w:sz w:val="24"/>
                <w:szCs w:val="24"/>
                <w:lang w:eastAsia="en-GB"/>
              </w:rPr>
            </w:pPr>
            <w:r>
              <w:rPr>
                <w:rFonts w:ascii="Arial" w:hAnsi="Arial" w:cs="Arial"/>
                <w:sz w:val="24"/>
                <w:szCs w:val="24"/>
                <w:lang w:eastAsia="en-GB"/>
              </w:rPr>
              <w:t>The Board is asked to note the paper.</w:t>
            </w:r>
          </w:p>
          <w:p w:rsidR="008658F4" w:rsidRDefault="008658F4">
            <w:pPr>
              <w:rPr>
                <w:rFonts w:ascii="Arial" w:hAnsi="Arial" w:cs="Arial"/>
                <w:sz w:val="24"/>
                <w:szCs w:val="24"/>
              </w:rPr>
            </w:pPr>
          </w:p>
        </w:tc>
      </w:tr>
    </w:tbl>
    <w:p w:rsidR="008658F4" w:rsidRDefault="008658F4" w:rsidP="008658F4">
      <w:pPr>
        <w:jc w:val="both"/>
        <w:rPr>
          <w:rFonts w:ascii="Arial" w:hAnsi="Arial" w:cs="Arial"/>
          <w:sz w:val="24"/>
          <w:szCs w:val="24"/>
        </w:rPr>
      </w:pPr>
    </w:p>
    <w:p w:rsidR="008658F4" w:rsidRDefault="008658F4" w:rsidP="008658F4">
      <w:pPr>
        <w:jc w:val="both"/>
        <w:rPr>
          <w:rFonts w:ascii="Arial" w:hAnsi="Arial" w:cs="Arial"/>
          <w:sz w:val="24"/>
          <w:szCs w:val="24"/>
        </w:rPr>
      </w:pPr>
    </w:p>
    <w:p w:rsidR="008658F4" w:rsidRDefault="008658F4" w:rsidP="008658F4">
      <w:pPr>
        <w:jc w:val="both"/>
        <w:rPr>
          <w:rFonts w:ascii="Arial" w:hAnsi="Arial" w:cs="Arial"/>
          <w:sz w:val="24"/>
          <w:szCs w:val="24"/>
        </w:rPr>
      </w:pPr>
    </w:p>
    <w:p w:rsidR="008658F4" w:rsidRDefault="008658F4" w:rsidP="008658F4">
      <w:pPr>
        <w:tabs>
          <w:tab w:val="left" w:pos="4500"/>
        </w:tabs>
        <w:jc w:val="both"/>
        <w:rPr>
          <w:rFonts w:ascii="Arial" w:hAnsi="Arial" w:cs="Arial"/>
          <w:b/>
          <w:sz w:val="24"/>
          <w:szCs w:val="24"/>
        </w:rPr>
      </w:pPr>
      <w:r>
        <w:rPr>
          <w:rFonts w:ascii="Arial" w:hAnsi="Arial" w:cs="Arial"/>
          <w:b/>
          <w:sz w:val="24"/>
          <w:szCs w:val="24"/>
        </w:rPr>
        <w:t>Author:</w:t>
      </w:r>
      <w:r>
        <w:rPr>
          <w:rFonts w:ascii="Arial" w:hAnsi="Arial" w:cs="Arial"/>
          <w:b/>
          <w:sz w:val="24"/>
          <w:szCs w:val="24"/>
        </w:rPr>
        <w:tab/>
        <w:t>Sponsoring Director:</w:t>
      </w:r>
    </w:p>
    <w:p w:rsidR="008658F4" w:rsidRDefault="008658F4" w:rsidP="008658F4">
      <w:pPr>
        <w:jc w:val="both"/>
        <w:rPr>
          <w:rFonts w:ascii="Arial" w:hAnsi="Arial" w:cs="Arial"/>
          <w:sz w:val="24"/>
          <w:szCs w:val="24"/>
        </w:rPr>
      </w:pPr>
    </w:p>
    <w:tbl>
      <w:tblPr>
        <w:tblStyle w:val="TableGrid"/>
        <w:tblW w:w="0" w:type="auto"/>
        <w:tblLook w:val="01E0" w:firstRow="1" w:lastRow="1" w:firstColumn="1" w:lastColumn="1" w:noHBand="0" w:noVBand="0"/>
      </w:tblPr>
      <w:tblGrid>
        <w:gridCol w:w="4566"/>
        <w:gridCol w:w="4676"/>
      </w:tblGrid>
      <w:tr w:rsidR="008658F4" w:rsidTr="008658F4">
        <w:tc>
          <w:tcPr>
            <w:tcW w:w="4608" w:type="dxa"/>
            <w:tcBorders>
              <w:top w:val="single" w:sz="4" w:space="0" w:color="auto"/>
              <w:left w:val="single" w:sz="4" w:space="0" w:color="auto"/>
              <w:bottom w:val="single" w:sz="4" w:space="0" w:color="auto"/>
              <w:right w:val="single" w:sz="4" w:space="0" w:color="auto"/>
            </w:tcBorders>
          </w:tcPr>
          <w:p w:rsidR="008658F4" w:rsidRDefault="008658F4">
            <w:pPr>
              <w:jc w:val="both"/>
              <w:rPr>
                <w:rFonts w:ascii="Arial" w:hAnsi="Arial" w:cs="Arial"/>
                <w:sz w:val="24"/>
                <w:szCs w:val="24"/>
              </w:rPr>
            </w:pPr>
          </w:p>
          <w:p w:rsidR="008658F4" w:rsidRDefault="008658F4">
            <w:pPr>
              <w:jc w:val="both"/>
              <w:rPr>
                <w:rFonts w:ascii="Arial" w:hAnsi="Arial" w:cs="Arial"/>
                <w:sz w:val="24"/>
                <w:szCs w:val="24"/>
                <w:lang w:eastAsia="en-GB"/>
              </w:rPr>
            </w:pPr>
            <w:r>
              <w:rPr>
                <w:rFonts w:ascii="Arial" w:hAnsi="Arial" w:cs="Arial"/>
                <w:sz w:val="24"/>
                <w:szCs w:val="24"/>
                <w:lang w:eastAsia="en-GB"/>
              </w:rPr>
              <w:t>Gerald McLaughlin</w:t>
            </w:r>
          </w:p>
          <w:p w:rsidR="008658F4" w:rsidRDefault="008658F4">
            <w:pPr>
              <w:jc w:val="both"/>
              <w:rPr>
                <w:rFonts w:ascii="Arial" w:hAnsi="Arial" w:cs="Arial"/>
                <w:sz w:val="24"/>
                <w:szCs w:val="24"/>
                <w:lang w:eastAsia="en-GB"/>
              </w:rPr>
            </w:pPr>
            <w:r>
              <w:rPr>
                <w:rFonts w:ascii="Arial" w:hAnsi="Arial" w:cs="Arial"/>
                <w:sz w:val="24"/>
                <w:szCs w:val="24"/>
                <w:lang w:eastAsia="en-GB"/>
              </w:rPr>
              <w:t>Chief Executive</w:t>
            </w:r>
          </w:p>
          <w:p w:rsidR="008658F4" w:rsidRDefault="008658F4">
            <w:pPr>
              <w:jc w:val="both"/>
              <w:rPr>
                <w:rFonts w:ascii="Arial" w:hAnsi="Arial" w:cs="Arial"/>
                <w:b/>
                <w:sz w:val="24"/>
                <w:szCs w:val="24"/>
              </w:rPr>
            </w:pPr>
          </w:p>
        </w:tc>
        <w:tc>
          <w:tcPr>
            <w:tcW w:w="4736" w:type="dxa"/>
            <w:tcBorders>
              <w:top w:val="single" w:sz="4" w:space="0" w:color="auto"/>
              <w:left w:val="single" w:sz="4" w:space="0" w:color="auto"/>
              <w:bottom w:val="single" w:sz="4" w:space="0" w:color="auto"/>
              <w:right w:val="single" w:sz="4" w:space="0" w:color="auto"/>
            </w:tcBorders>
          </w:tcPr>
          <w:p w:rsidR="008658F4" w:rsidRDefault="008658F4">
            <w:pPr>
              <w:jc w:val="both"/>
              <w:rPr>
                <w:rFonts w:ascii="Arial" w:hAnsi="Arial" w:cs="Arial"/>
                <w:sz w:val="24"/>
                <w:szCs w:val="24"/>
              </w:rPr>
            </w:pPr>
          </w:p>
          <w:p w:rsidR="008658F4" w:rsidRDefault="008658F4">
            <w:pPr>
              <w:jc w:val="both"/>
              <w:rPr>
                <w:rFonts w:ascii="Arial" w:hAnsi="Arial" w:cs="Arial"/>
                <w:b/>
                <w:sz w:val="24"/>
                <w:szCs w:val="24"/>
              </w:rPr>
            </w:pPr>
          </w:p>
        </w:tc>
      </w:tr>
    </w:tbl>
    <w:p w:rsidR="008658F4" w:rsidRDefault="008658F4" w:rsidP="008658F4">
      <w:pPr>
        <w:jc w:val="both"/>
        <w:rPr>
          <w:rFonts w:ascii="Arial" w:hAnsi="Arial" w:cs="Arial"/>
          <w:sz w:val="24"/>
          <w:szCs w:val="24"/>
        </w:rPr>
      </w:pPr>
    </w:p>
    <w:p w:rsidR="008658F4" w:rsidRDefault="008658F4" w:rsidP="008658F4">
      <w:pPr>
        <w:jc w:val="both"/>
        <w:rPr>
          <w:rFonts w:ascii="Arial" w:hAnsi="Arial" w:cs="Arial"/>
          <w:sz w:val="24"/>
          <w:szCs w:val="24"/>
        </w:rPr>
      </w:pPr>
    </w:p>
    <w:p w:rsidR="008658F4" w:rsidRDefault="008658F4" w:rsidP="008658F4">
      <w:pPr>
        <w:jc w:val="both"/>
        <w:rPr>
          <w:rFonts w:ascii="Arial" w:hAnsi="Arial" w:cs="Arial"/>
          <w:sz w:val="24"/>
          <w:szCs w:val="24"/>
        </w:rPr>
      </w:pPr>
    </w:p>
    <w:p w:rsidR="008658F4" w:rsidRDefault="008658F4" w:rsidP="008658F4">
      <w:pPr>
        <w:rPr>
          <w:rFonts w:ascii="Arial" w:hAnsi="Arial" w:cs="Arial"/>
          <w:b/>
          <w:sz w:val="24"/>
          <w:szCs w:val="24"/>
        </w:rPr>
      </w:pPr>
      <w:r>
        <w:rPr>
          <w:rFonts w:ascii="Arial" w:hAnsi="Arial" w:cs="Arial"/>
          <w:b/>
          <w:sz w:val="24"/>
          <w:szCs w:val="24"/>
        </w:rPr>
        <w:t>20 May 2015</w:t>
      </w:r>
    </w:p>
    <w:p w:rsidR="008658F4" w:rsidRDefault="008658F4" w:rsidP="008658F4">
      <w:pPr>
        <w:jc w:val="both"/>
      </w:pPr>
      <w:r>
        <w:br w:type="page"/>
      </w:r>
    </w:p>
    <w:p w:rsidR="008658F4" w:rsidRDefault="008658F4" w:rsidP="008658F4">
      <w:pPr>
        <w:jc w:val="both"/>
        <w:rPr>
          <w:rFonts w:ascii="Arial" w:hAnsi="Arial" w:cs="Arial"/>
          <w:b/>
          <w:sz w:val="24"/>
          <w:szCs w:val="24"/>
        </w:rPr>
      </w:pPr>
    </w:p>
    <w:p w:rsidR="008658F4" w:rsidRDefault="008658F4" w:rsidP="008658F4">
      <w:pPr>
        <w:jc w:val="both"/>
        <w:rPr>
          <w:rFonts w:ascii="Arial" w:hAnsi="Arial" w:cs="Arial"/>
          <w:b/>
          <w:sz w:val="24"/>
          <w:szCs w:val="24"/>
        </w:rPr>
      </w:pPr>
      <w:r>
        <w:rPr>
          <w:rFonts w:ascii="Arial" w:hAnsi="Arial" w:cs="Arial"/>
          <w:b/>
          <w:sz w:val="24"/>
          <w:szCs w:val="24"/>
        </w:rPr>
        <w:t>CHIEF EXECUTIVE’S UPDATE</w:t>
      </w:r>
    </w:p>
    <w:p w:rsidR="008658F4" w:rsidRDefault="008658F4" w:rsidP="008658F4">
      <w:pPr>
        <w:jc w:val="both"/>
        <w:rPr>
          <w:rFonts w:ascii="Arial" w:hAnsi="Arial" w:cs="Arial"/>
          <w:b/>
          <w:sz w:val="24"/>
          <w:szCs w:val="24"/>
        </w:rPr>
      </w:pPr>
    </w:p>
    <w:p w:rsidR="008658F4" w:rsidRDefault="008658F4" w:rsidP="008658F4">
      <w:pPr>
        <w:jc w:val="both"/>
        <w:rPr>
          <w:rFonts w:ascii="Arial" w:hAnsi="Arial" w:cs="Arial"/>
          <w:b/>
          <w:sz w:val="24"/>
          <w:szCs w:val="24"/>
        </w:rPr>
      </w:pPr>
    </w:p>
    <w:p w:rsidR="008658F4" w:rsidRDefault="008658F4" w:rsidP="008658F4">
      <w:pPr>
        <w:pStyle w:val="Heading2"/>
        <w:spacing w:before="0" w:after="0"/>
        <w:jc w:val="both"/>
        <w:rPr>
          <w:i w:val="0"/>
          <w:sz w:val="24"/>
          <w:szCs w:val="24"/>
        </w:rPr>
      </w:pPr>
      <w:r>
        <w:rPr>
          <w:i w:val="0"/>
          <w:sz w:val="24"/>
          <w:szCs w:val="24"/>
        </w:rPr>
        <w:t xml:space="preserve">Purpose of Paper </w:t>
      </w:r>
    </w:p>
    <w:p w:rsidR="008658F4" w:rsidRDefault="008658F4" w:rsidP="008658F4">
      <w:pPr>
        <w:jc w:val="both"/>
        <w:rPr>
          <w:rFonts w:ascii="Arial" w:hAnsi="Arial" w:cs="Arial"/>
          <w:sz w:val="24"/>
          <w:szCs w:val="24"/>
        </w:rPr>
      </w:pPr>
    </w:p>
    <w:p w:rsidR="008658F4" w:rsidRDefault="008658F4" w:rsidP="008658F4">
      <w:pPr>
        <w:pStyle w:val="ListParagraph"/>
        <w:numPr>
          <w:ilvl w:val="0"/>
          <w:numId w:val="1"/>
        </w:numPr>
        <w:tabs>
          <w:tab w:val="num" w:pos="540"/>
        </w:tabs>
        <w:rPr>
          <w:rFonts w:ascii="Arial" w:hAnsi="Arial" w:cs="Arial"/>
          <w:sz w:val="24"/>
          <w:szCs w:val="24"/>
        </w:rPr>
      </w:pPr>
      <w:r>
        <w:rPr>
          <w:rFonts w:ascii="Arial" w:hAnsi="Arial" w:cs="Arial"/>
          <w:sz w:val="24"/>
          <w:szCs w:val="24"/>
        </w:rPr>
        <w:t xml:space="preserve">The purpose of this paper is to provide an update to the Board on activities and </w:t>
      </w:r>
    </w:p>
    <w:p w:rsidR="008658F4" w:rsidRDefault="008658F4" w:rsidP="008658F4">
      <w:pPr>
        <w:tabs>
          <w:tab w:val="num" w:pos="540"/>
        </w:tabs>
        <w:ind w:left="540"/>
        <w:rPr>
          <w:rFonts w:ascii="Arial" w:hAnsi="Arial" w:cs="Arial"/>
          <w:sz w:val="24"/>
          <w:szCs w:val="24"/>
        </w:rPr>
      </w:pPr>
      <w:proofErr w:type="gramStart"/>
      <w:r>
        <w:rPr>
          <w:rFonts w:ascii="Arial" w:hAnsi="Arial" w:cs="Arial"/>
          <w:sz w:val="24"/>
          <w:szCs w:val="24"/>
        </w:rPr>
        <w:t>matters</w:t>
      </w:r>
      <w:proofErr w:type="gramEnd"/>
      <w:r>
        <w:rPr>
          <w:rFonts w:ascii="Arial" w:hAnsi="Arial" w:cs="Arial"/>
          <w:sz w:val="24"/>
          <w:szCs w:val="24"/>
        </w:rPr>
        <w:t xml:space="preserve"> involving the Chief Executive and Directors which are not covered by other papers on the agenda.</w:t>
      </w:r>
    </w:p>
    <w:p w:rsidR="008658F4" w:rsidRDefault="008658F4" w:rsidP="008658F4">
      <w:pPr>
        <w:tabs>
          <w:tab w:val="num" w:pos="540"/>
        </w:tabs>
        <w:ind w:left="540"/>
        <w:rPr>
          <w:rFonts w:ascii="Arial" w:hAnsi="Arial" w:cs="Arial"/>
          <w:sz w:val="24"/>
          <w:szCs w:val="24"/>
        </w:rPr>
      </w:pPr>
    </w:p>
    <w:p w:rsidR="008658F4" w:rsidRDefault="00FC5B76" w:rsidP="008658F4">
      <w:pPr>
        <w:tabs>
          <w:tab w:val="num" w:pos="540"/>
        </w:tabs>
        <w:rPr>
          <w:rFonts w:ascii="Arial" w:hAnsi="Arial" w:cs="Arial"/>
          <w:sz w:val="24"/>
          <w:szCs w:val="24"/>
        </w:rPr>
      </w:pPr>
      <w:r>
        <w:rPr>
          <w:rFonts w:ascii="Arial" w:hAnsi="Arial" w:cs="Arial"/>
          <w:b/>
          <w:sz w:val="24"/>
          <w:szCs w:val="24"/>
        </w:rPr>
        <w:t>Annual Review – Wednesday, 26 August 2015</w:t>
      </w:r>
    </w:p>
    <w:p w:rsidR="00FC5B76" w:rsidRDefault="00FC5B76" w:rsidP="008658F4">
      <w:pPr>
        <w:tabs>
          <w:tab w:val="num" w:pos="540"/>
        </w:tabs>
        <w:rPr>
          <w:rFonts w:ascii="Arial" w:hAnsi="Arial" w:cs="Arial"/>
          <w:sz w:val="24"/>
          <w:szCs w:val="24"/>
        </w:rPr>
      </w:pPr>
    </w:p>
    <w:p w:rsidR="00A869C2" w:rsidRDefault="00FC5B76" w:rsidP="00E13218">
      <w:pPr>
        <w:pStyle w:val="ListParagraph"/>
        <w:numPr>
          <w:ilvl w:val="0"/>
          <w:numId w:val="1"/>
        </w:numPr>
        <w:tabs>
          <w:tab w:val="clear" w:pos="720"/>
          <w:tab w:val="left" w:pos="540"/>
        </w:tabs>
        <w:ind w:left="540" w:hanging="540"/>
        <w:rPr>
          <w:rFonts w:ascii="Arial" w:hAnsi="Arial" w:cs="Arial"/>
          <w:color w:val="000000"/>
          <w:sz w:val="24"/>
          <w:szCs w:val="24"/>
        </w:rPr>
      </w:pPr>
      <w:r w:rsidRPr="00A869C2">
        <w:rPr>
          <w:rFonts w:ascii="Arial" w:hAnsi="Arial" w:cs="Arial"/>
          <w:color w:val="000000"/>
          <w:sz w:val="24"/>
          <w:szCs w:val="24"/>
        </w:rPr>
        <w:t xml:space="preserve">The Annual Review </w:t>
      </w:r>
      <w:r w:rsidR="00E13218" w:rsidRPr="00A869C2">
        <w:rPr>
          <w:rFonts w:ascii="Arial" w:hAnsi="Arial" w:cs="Arial"/>
          <w:color w:val="000000"/>
          <w:sz w:val="24"/>
          <w:szCs w:val="24"/>
        </w:rPr>
        <w:t>has been</w:t>
      </w:r>
      <w:r w:rsidRPr="00A869C2">
        <w:rPr>
          <w:rFonts w:ascii="Arial" w:hAnsi="Arial" w:cs="Arial"/>
          <w:color w:val="000000"/>
          <w:sz w:val="24"/>
          <w:szCs w:val="24"/>
        </w:rPr>
        <w:t xml:space="preserve"> confirmed as the 26 August with the Minister</w:t>
      </w:r>
      <w:r w:rsidR="00E13218" w:rsidRPr="00A869C2">
        <w:rPr>
          <w:rFonts w:ascii="Arial" w:hAnsi="Arial" w:cs="Arial"/>
          <w:color w:val="000000"/>
          <w:sz w:val="24"/>
          <w:szCs w:val="24"/>
        </w:rPr>
        <w:t xml:space="preserve"> for Sport, Health Improvement and Mental Health</w:t>
      </w:r>
      <w:r w:rsidRPr="00A869C2">
        <w:rPr>
          <w:rFonts w:ascii="Arial" w:hAnsi="Arial" w:cs="Arial"/>
          <w:color w:val="000000"/>
          <w:sz w:val="24"/>
          <w:szCs w:val="24"/>
        </w:rPr>
        <w:t xml:space="preserve">, Jamie Hepburn.  We aim to incorporate showcase examples connected to the </w:t>
      </w:r>
      <w:r w:rsidR="00E13218" w:rsidRPr="00A869C2">
        <w:rPr>
          <w:rFonts w:ascii="Arial" w:hAnsi="Arial" w:cs="Arial"/>
          <w:color w:val="000000"/>
          <w:sz w:val="24"/>
          <w:szCs w:val="24"/>
        </w:rPr>
        <w:t xml:space="preserve">Minister’s </w:t>
      </w:r>
      <w:r w:rsidRPr="00A869C2">
        <w:rPr>
          <w:rFonts w:ascii="Arial" w:hAnsi="Arial" w:cs="Arial"/>
          <w:color w:val="000000"/>
          <w:sz w:val="24"/>
          <w:szCs w:val="24"/>
        </w:rPr>
        <w:t>interests of mental health and physical activity (linked with environment/place)</w:t>
      </w:r>
      <w:r w:rsidR="00E13218" w:rsidRPr="00A869C2">
        <w:rPr>
          <w:rFonts w:ascii="Arial" w:hAnsi="Arial" w:cs="Arial"/>
          <w:color w:val="000000"/>
          <w:sz w:val="24"/>
          <w:szCs w:val="24"/>
        </w:rPr>
        <w:t xml:space="preserve">. </w:t>
      </w:r>
      <w:r w:rsidRPr="00A869C2">
        <w:rPr>
          <w:rFonts w:ascii="Arial" w:hAnsi="Arial" w:cs="Arial"/>
          <w:color w:val="000000"/>
          <w:sz w:val="24"/>
          <w:szCs w:val="24"/>
        </w:rPr>
        <w:t xml:space="preserve"> </w:t>
      </w:r>
      <w:r w:rsidR="00E13218" w:rsidRPr="00A869C2">
        <w:rPr>
          <w:rFonts w:ascii="Arial" w:hAnsi="Arial" w:cs="Arial"/>
          <w:color w:val="000000"/>
          <w:sz w:val="24"/>
          <w:szCs w:val="24"/>
        </w:rPr>
        <w:t>W</w:t>
      </w:r>
      <w:r w:rsidRPr="00A869C2">
        <w:rPr>
          <w:rFonts w:ascii="Arial" w:hAnsi="Arial" w:cs="Arial"/>
          <w:color w:val="000000"/>
          <w:sz w:val="24"/>
          <w:szCs w:val="24"/>
        </w:rPr>
        <w:t xml:space="preserve">e are also exploring the possibility of tobacco.  </w:t>
      </w:r>
    </w:p>
    <w:p w:rsidR="00A869C2" w:rsidRDefault="00A869C2" w:rsidP="00A869C2">
      <w:pPr>
        <w:pStyle w:val="ListParagraph"/>
        <w:tabs>
          <w:tab w:val="left" w:pos="540"/>
        </w:tabs>
        <w:ind w:left="540"/>
        <w:rPr>
          <w:rFonts w:ascii="Arial" w:hAnsi="Arial" w:cs="Arial"/>
          <w:color w:val="000000"/>
          <w:sz w:val="24"/>
          <w:szCs w:val="24"/>
        </w:rPr>
      </w:pPr>
    </w:p>
    <w:p w:rsidR="00A869C2" w:rsidRDefault="00FC5B76" w:rsidP="00E13218">
      <w:pPr>
        <w:pStyle w:val="ListParagraph"/>
        <w:numPr>
          <w:ilvl w:val="0"/>
          <w:numId w:val="1"/>
        </w:numPr>
        <w:tabs>
          <w:tab w:val="clear" w:pos="720"/>
          <w:tab w:val="left" w:pos="540"/>
        </w:tabs>
        <w:ind w:left="540" w:hanging="540"/>
        <w:rPr>
          <w:rFonts w:ascii="Arial" w:hAnsi="Arial" w:cs="Arial"/>
          <w:color w:val="000000"/>
          <w:sz w:val="24"/>
          <w:szCs w:val="24"/>
        </w:rPr>
      </w:pPr>
      <w:r w:rsidRPr="00A869C2">
        <w:rPr>
          <w:rFonts w:ascii="Arial" w:hAnsi="Arial" w:cs="Arial"/>
          <w:color w:val="000000"/>
          <w:sz w:val="24"/>
          <w:szCs w:val="24"/>
        </w:rPr>
        <w:t>We will focus on our strong brands</w:t>
      </w:r>
      <w:r w:rsidR="00E13218" w:rsidRPr="00A869C2">
        <w:rPr>
          <w:rFonts w:ascii="Arial" w:hAnsi="Arial" w:cs="Arial"/>
          <w:color w:val="000000"/>
          <w:sz w:val="24"/>
          <w:szCs w:val="24"/>
        </w:rPr>
        <w:t>,</w:t>
      </w:r>
      <w:r w:rsidRPr="00A869C2">
        <w:rPr>
          <w:rFonts w:ascii="Arial" w:hAnsi="Arial" w:cs="Arial"/>
          <w:color w:val="000000"/>
          <w:sz w:val="24"/>
          <w:szCs w:val="24"/>
        </w:rPr>
        <w:t xml:space="preserve"> for example the Healthy Living Award and the </w:t>
      </w:r>
      <w:proofErr w:type="spellStart"/>
      <w:r w:rsidRPr="00A869C2">
        <w:rPr>
          <w:rFonts w:ascii="Arial" w:hAnsi="Arial" w:cs="Arial"/>
          <w:color w:val="000000"/>
          <w:sz w:val="24"/>
          <w:szCs w:val="24"/>
        </w:rPr>
        <w:t>S</w:t>
      </w:r>
      <w:r w:rsidR="00C9041E" w:rsidRPr="00A869C2">
        <w:rPr>
          <w:rFonts w:ascii="Arial" w:hAnsi="Arial" w:cs="Arial"/>
          <w:color w:val="000000"/>
          <w:sz w:val="24"/>
          <w:szCs w:val="24"/>
        </w:rPr>
        <w:t>cot</w:t>
      </w:r>
      <w:r w:rsidRPr="00A869C2">
        <w:rPr>
          <w:rFonts w:ascii="Arial" w:hAnsi="Arial" w:cs="Arial"/>
          <w:color w:val="000000"/>
          <w:sz w:val="24"/>
          <w:szCs w:val="24"/>
        </w:rPr>
        <w:t>PHO</w:t>
      </w:r>
      <w:proofErr w:type="spellEnd"/>
      <w:r w:rsidRPr="00A869C2">
        <w:rPr>
          <w:rFonts w:ascii="Arial" w:hAnsi="Arial" w:cs="Arial"/>
          <w:color w:val="000000"/>
          <w:sz w:val="24"/>
          <w:szCs w:val="24"/>
        </w:rPr>
        <w:t xml:space="preserve"> profiles</w:t>
      </w:r>
      <w:r w:rsidR="00C9041E" w:rsidRPr="00A869C2">
        <w:rPr>
          <w:rFonts w:ascii="Arial" w:hAnsi="Arial" w:cs="Arial"/>
          <w:color w:val="000000"/>
          <w:sz w:val="24"/>
          <w:szCs w:val="24"/>
        </w:rPr>
        <w:t xml:space="preserve"> and</w:t>
      </w:r>
      <w:r w:rsidRPr="00A869C2">
        <w:rPr>
          <w:rFonts w:ascii="Arial" w:hAnsi="Arial" w:cs="Arial"/>
          <w:color w:val="000000"/>
          <w:sz w:val="24"/>
          <w:szCs w:val="24"/>
        </w:rPr>
        <w:t xml:space="preserve"> seek to demonstrate the theme of our collaborative </w:t>
      </w:r>
      <w:r w:rsidR="00C9041E" w:rsidRPr="00A869C2">
        <w:rPr>
          <w:rFonts w:ascii="Arial" w:hAnsi="Arial" w:cs="Arial"/>
          <w:color w:val="000000"/>
          <w:sz w:val="24"/>
          <w:szCs w:val="24"/>
        </w:rPr>
        <w:t>approach</w:t>
      </w:r>
      <w:r w:rsidRPr="00A869C2">
        <w:rPr>
          <w:rFonts w:ascii="Arial" w:hAnsi="Arial" w:cs="Arial"/>
          <w:color w:val="000000"/>
          <w:sz w:val="24"/>
          <w:szCs w:val="24"/>
        </w:rPr>
        <w:t xml:space="preserve">.  We are proposing to use the annual review action plan areas as the basis for our </w:t>
      </w:r>
      <w:proofErr w:type="spellStart"/>
      <w:r w:rsidRPr="00A869C2">
        <w:rPr>
          <w:rFonts w:ascii="Arial" w:hAnsi="Arial" w:cs="Arial"/>
          <w:color w:val="000000"/>
          <w:sz w:val="24"/>
          <w:szCs w:val="24"/>
        </w:rPr>
        <w:t>self assessment</w:t>
      </w:r>
      <w:proofErr w:type="spellEnd"/>
      <w:r w:rsidRPr="00A869C2">
        <w:rPr>
          <w:rFonts w:ascii="Arial" w:hAnsi="Arial" w:cs="Arial"/>
          <w:color w:val="000000"/>
          <w:sz w:val="24"/>
          <w:szCs w:val="24"/>
        </w:rPr>
        <w:t xml:space="preserve">.  </w:t>
      </w:r>
    </w:p>
    <w:p w:rsidR="00A869C2" w:rsidRPr="00A869C2" w:rsidRDefault="00A869C2" w:rsidP="00A869C2">
      <w:pPr>
        <w:pStyle w:val="ListParagraph"/>
        <w:rPr>
          <w:rFonts w:ascii="Arial" w:hAnsi="Arial" w:cs="Arial"/>
          <w:color w:val="000000"/>
          <w:sz w:val="24"/>
          <w:szCs w:val="24"/>
        </w:rPr>
      </w:pPr>
    </w:p>
    <w:p w:rsidR="00FC5B76" w:rsidRPr="00A869C2" w:rsidRDefault="00FC5B76" w:rsidP="00E13218">
      <w:pPr>
        <w:pStyle w:val="ListParagraph"/>
        <w:numPr>
          <w:ilvl w:val="0"/>
          <w:numId w:val="1"/>
        </w:numPr>
        <w:tabs>
          <w:tab w:val="clear" w:pos="720"/>
          <w:tab w:val="left" w:pos="540"/>
        </w:tabs>
        <w:ind w:left="540" w:hanging="540"/>
        <w:rPr>
          <w:rFonts w:ascii="Arial" w:hAnsi="Arial" w:cs="Arial"/>
          <w:color w:val="000000"/>
          <w:sz w:val="24"/>
          <w:szCs w:val="24"/>
        </w:rPr>
      </w:pPr>
      <w:r w:rsidRPr="00A869C2">
        <w:rPr>
          <w:rFonts w:ascii="Arial" w:hAnsi="Arial" w:cs="Arial"/>
          <w:color w:val="000000"/>
          <w:sz w:val="24"/>
          <w:szCs w:val="24"/>
        </w:rPr>
        <w:t xml:space="preserve">We are </w:t>
      </w:r>
      <w:r w:rsidR="00A869C2">
        <w:rPr>
          <w:rFonts w:ascii="Arial" w:hAnsi="Arial" w:cs="Arial"/>
          <w:color w:val="000000"/>
          <w:sz w:val="24"/>
          <w:szCs w:val="24"/>
        </w:rPr>
        <w:t xml:space="preserve">also </w:t>
      </w:r>
      <w:r w:rsidRPr="00A869C2">
        <w:rPr>
          <w:rFonts w:ascii="Arial" w:hAnsi="Arial" w:cs="Arial"/>
          <w:color w:val="000000"/>
          <w:sz w:val="24"/>
          <w:szCs w:val="24"/>
        </w:rPr>
        <w:t xml:space="preserve">exploring </w:t>
      </w:r>
      <w:r w:rsidR="00A869C2">
        <w:rPr>
          <w:rFonts w:ascii="Arial" w:hAnsi="Arial" w:cs="Arial"/>
          <w:color w:val="000000"/>
          <w:sz w:val="24"/>
          <w:szCs w:val="24"/>
        </w:rPr>
        <w:t xml:space="preserve">whether </w:t>
      </w:r>
      <w:r w:rsidRPr="00A869C2">
        <w:rPr>
          <w:rFonts w:ascii="Arial" w:hAnsi="Arial" w:cs="Arial"/>
          <w:color w:val="000000"/>
          <w:sz w:val="24"/>
          <w:szCs w:val="24"/>
        </w:rPr>
        <w:t xml:space="preserve">we can hold the annual review in the </w:t>
      </w:r>
      <w:r w:rsidR="00E13218" w:rsidRPr="00A869C2">
        <w:rPr>
          <w:rFonts w:ascii="Arial" w:hAnsi="Arial" w:cs="Arial"/>
          <w:color w:val="000000"/>
          <w:sz w:val="24"/>
          <w:szCs w:val="24"/>
        </w:rPr>
        <w:t>Meridian</w:t>
      </w:r>
      <w:r w:rsidRPr="00A869C2">
        <w:rPr>
          <w:rFonts w:ascii="Arial" w:hAnsi="Arial" w:cs="Arial"/>
          <w:color w:val="000000"/>
          <w:sz w:val="24"/>
          <w:szCs w:val="24"/>
        </w:rPr>
        <w:t xml:space="preserve"> Court </w:t>
      </w:r>
      <w:r w:rsidR="00E13218" w:rsidRPr="00A869C2">
        <w:rPr>
          <w:rFonts w:ascii="Arial" w:hAnsi="Arial" w:cs="Arial"/>
          <w:color w:val="000000"/>
          <w:sz w:val="24"/>
          <w:szCs w:val="24"/>
        </w:rPr>
        <w:t>office</w:t>
      </w:r>
      <w:r w:rsidR="009E6B89">
        <w:rPr>
          <w:rFonts w:ascii="Arial" w:hAnsi="Arial" w:cs="Arial"/>
          <w:color w:val="000000"/>
          <w:sz w:val="24"/>
          <w:szCs w:val="24"/>
        </w:rPr>
        <w:t xml:space="preserve"> in Glasgow</w:t>
      </w:r>
      <w:r w:rsidR="00E13218" w:rsidRPr="00A869C2">
        <w:rPr>
          <w:rFonts w:ascii="Arial" w:hAnsi="Arial" w:cs="Arial"/>
          <w:color w:val="000000"/>
          <w:sz w:val="24"/>
          <w:szCs w:val="24"/>
        </w:rPr>
        <w:t>.</w:t>
      </w:r>
    </w:p>
    <w:p w:rsidR="008658F4" w:rsidRDefault="008658F4" w:rsidP="008658F4">
      <w:pPr>
        <w:tabs>
          <w:tab w:val="num" w:pos="540"/>
        </w:tabs>
        <w:rPr>
          <w:rFonts w:ascii="Arial" w:hAnsi="Arial" w:cs="Arial"/>
          <w:sz w:val="24"/>
          <w:szCs w:val="24"/>
        </w:rPr>
      </w:pPr>
    </w:p>
    <w:p w:rsidR="008658F4" w:rsidRDefault="008658F4" w:rsidP="008658F4">
      <w:pPr>
        <w:tabs>
          <w:tab w:val="num" w:pos="540"/>
        </w:tabs>
        <w:rPr>
          <w:rFonts w:ascii="Arial" w:hAnsi="Arial" w:cs="Arial"/>
          <w:b/>
          <w:sz w:val="24"/>
          <w:szCs w:val="24"/>
        </w:rPr>
      </w:pPr>
      <w:r>
        <w:rPr>
          <w:rFonts w:ascii="Arial" w:hAnsi="Arial" w:cs="Arial"/>
          <w:b/>
          <w:sz w:val="24"/>
          <w:szCs w:val="24"/>
        </w:rPr>
        <w:t>Financial Performance and Position (2014/15) – extract from draft Annual Accounts – subject to audit</w:t>
      </w:r>
    </w:p>
    <w:p w:rsidR="008658F4" w:rsidRDefault="008658F4" w:rsidP="008658F4">
      <w:pPr>
        <w:tabs>
          <w:tab w:val="num" w:pos="540"/>
        </w:tabs>
        <w:rPr>
          <w:rFonts w:ascii="Arial" w:hAnsi="Arial" w:cs="Arial"/>
          <w:sz w:val="24"/>
          <w:szCs w:val="24"/>
        </w:rPr>
      </w:pPr>
    </w:p>
    <w:p w:rsidR="008658F4" w:rsidRDefault="00A869C2" w:rsidP="008658F4">
      <w:pPr>
        <w:tabs>
          <w:tab w:val="num" w:pos="540"/>
        </w:tabs>
        <w:rPr>
          <w:rFonts w:ascii="Arial" w:hAnsi="Arial" w:cs="Arial"/>
          <w:sz w:val="24"/>
          <w:szCs w:val="24"/>
        </w:rPr>
      </w:pPr>
      <w:r>
        <w:rPr>
          <w:rFonts w:ascii="Arial" w:hAnsi="Arial" w:cs="Arial"/>
          <w:sz w:val="24"/>
          <w:szCs w:val="24"/>
        </w:rPr>
        <w:t>5</w:t>
      </w:r>
      <w:r w:rsidR="008658F4" w:rsidRPr="008658F4">
        <w:rPr>
          <w:rFonts w:ascii="Arial" w:hAnsi="Arial" w:cs="Arial"/>
          <w:sz w:val="24"/>
          <w:szCs w:val="24"/>
        </w:rPr>
        <w:t>.</w:t>
      </w:r>
      <w:r w:rsidR="008658F4">
        <w:rPr>
          <w:rFonts w:ascii="Arial" w:hAnsi="Arial" w:cs="Arial"/>
          <w:sz w:val="24"/>
          <w:szCs w:val="24"/>
        </w:rPr>
        <w:tab/>
      </w:r>
      <w:r w:rsidR="008658F4" w:rsidRPr="008658F4">
        <w:rPr>
          <w:rFonts w:ascii="Arial" w:hAnsi="Arial" w:cs="Arial"/>
          <w:sz w:val="24"/>
          <w:szCs w:val="24"/>
        </w:rPr>
        <w:t>Deta</w:t>
      </w:r>
      <w:r w:rsidR="008658F4">
        <w:rPr>
          <w:rFonts w:ascii="Arial" w:hAnsi="Arial" w:cs="Arial"/>
          <w:sz w:val="24"/>
          <w:szCs w:val="24"/>
        </w:rPr>
        <w:t xml:space="preserve">iled below is an extract from the draft Annual Accounts, subject to audit, </w:t>
      </w:r>
    </w:p>
    <w:p w:rsidR="008658F4" w:rsidRDefault="008658F4" w:rsidP="008658F4">
      <w:pPr>
        <w:tabs>
          <w:tab w:val="num" w:pos="540"/>
        </w:tabs>
        <w:rPr>
          <w:rFonts w:ascii="Arial" w:hAnsi="Arial" w:cs="Arial"/>
          <w:sz w:val="24"/>
          <w:szCs w:val="24"/>
        </w:rPr>
      </w:pPr>
      <w:r>
        <w:rPr>
          <w:rFonts w:ascii="Arial" w:hAnsi="Arial" w:cs="Arial"/>
          <w:sz w:val="24"/>
          <w:szCs w:val="24"/>
        </w:rPr>
        <w:tab/>
      </w:r>
      <w:proofErr w:type="gramStart"/>
      <w:r>
        <w:rPr>
          <w:rFonts w:ascii="Arial" w:hAnsi="Arial" w:cs="Arial"/>
          <w:sz w:val="24"/>
          <w:szCs w:val="24"/>
        </w:rPr>
        <w:t>showing</w:t>
      </w:r>
      <w:proofErr w:type="gramEnd"/>
      <w:r>
        <w:rPr>
          <w:rFonts w:ascii="Arial" w:hAnsi="Arial" w:cs="Arial"/>
          <w:sz w:val="24"/>
          <w:szCs w:val="24"/>
        </w:rPr>
        <w:t xml:space="preserve"> the financial performance and position for the organisation for the </w:t>
      </w:r>
    </w:p>
    <w:p w:rsidR="008658F4" w:rsidRPr="008658F4" w:rsidRDefault="008658F4" w:rsidP="008658F4">
      <w:pPr>
        <w:tabs>
          <w:tab w:val="num" w:pos="540"/>
        </w:tabs>
        <w:ind w:left="540"/>
        <w:rPr>
          <w:rFonts w:ascii="Arial" w:hAnsi="Arial" w:cs="Arial"/>
          <w:sz w:val="24"/>
          <w:szCs w:val="24"/>
        </w:rPr>
      </w:pPr>
      <w:proofErr w:type="gramStart"/>
      <w:r>
        <w:rPr>
          <w:rFonts w:ascii="Arial" w:hAnsi="Arial" w:cs="Arial"/>
          <w:sz w:val="24"/>
          <w:szCs w:val="24"/>
        </w:rPr>
        <w:t>financial</w:t>
      </w:r>
      <w:proofErr w:type="gramEnd"/>
      <w:r>
        <w:rPr>
          <w:rFonts w:ascii="Arial" w:hAnsi="Arial" w:cs="Arial"/>
          <w:sz w:val="24"/>
          <w:szCs w:val="24"/>
        </w:rPr>
        <w:t xml:space="preserve"> year 2014/15 .  The Annual Accounts for 2014/15 will be presented to the Board for sign off on the 23 June.</w:t>
      </w:r>
    </w:p>
    <w:p w:rsidR="008658F4" w:rsidRPr="008658F4" w:rsidRDefault="008658F4" w:rsidP="008658F4">
      <w:pPr>
        <w:tabs>
          <w:tab w:val="num" w:pos="540"/>
        </w:tabs>
        <w:rPr>
          <w:rFonts w:ascii="Arial" w:hAnsi="Arial" w:cs="Arial"/>
          <w:sz w:val="24"/>
          <w:szCs w:val="24"/>
        </w:rPr>
      </w:pPr>
    </w:p>
    <w:tbl>
      <w:tblPr>
        <w:tblW w:w="0" w:type="auto"/>
        <w:tblInd w:w="817" w:type="dxa"/>
        <w:tblCellMar>
          <w:left w:w="0" w:type="dxa"/>
          <w:right w:w="0" w:type="dxa"/>
        </w:tblCellMar>
        <w:tblLook w:val="04A0" w:firstRow="1" w:lastRow="0" w:firstColumn="1" w:lastColumn="0" w:noHBand="0" w:noVBand="1"/>
      </w:tblPr>
      <w:tblGrid>
        <w:gridCol w:w="3441"/>
        <w:gridCol w:w="180"/>
        <w:gridCol w:w="1170"/>
        <w:gridCol w:w="180"/>
        <w:gridCol w:w="1182"/>
        <w:gridCol w:w="170"/>
        <w:gridCol w:w="1418"/>
      </w:tblGrid>
      <w:tr w:rsidR="008658F4" w:rsidTr="008658F4">
        <w:trPr>
          <w:cantSplit/>
        </w:trPr>
        <w:tc>
          <w:tcPr>
            <w:tcW w:w="3441" w:type="dxa"/>
            <w:tcMar>
              <w:top w:w="0" w:type="dxa"/>
              <w:left w:w="28" w:type="dxa"/>
              <w:bottom w:w="0" w:type="dxa"/>
              <w:right w:w="28" w:type="dxa"/>
            </w:tcMar>
            <w:hideMark/>
          </w:tcPr>
          <w:p w:rsidR="008658F4" w:rsidRDefault="008658F4">
            <w:pPr>
              <w:numPr>
                <w:ilvl w:val="12"/>
                <w:numId w:val="0"/>
              </w:numPr>
              <w:ind w:left="720" w:hanging="720"/>
              <w:jc w:val="center"/>
              <w:rPr>
                <w:rFonts w:ascii="Arial" w:eastAsiaTheme="minorHAnsi" w:hAnsi="Arial" w:cs="Arial"/>
                <w:sz w:val="22"/>
                <w:szCs w:val="22"/>
              </w:rPr>
            </w:pPr>
            <w:r>
              <w:rPr>
                <w:rFonts w:ascii="Arial" w:hAnsi="Arial" w:cs="Arial"/>
              </w:rPr>
              <w:t xml:space="preserve">            </w:t>
            </w: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170"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b/>
                <w:bCs/>
                <w:sz w:val="22"/>
                <w:szCs w:val="22"/>
              </w:rPr>
            </w:pPr>
            <w:r>
              <w:rPr>
                <w:rFonts w:ascii="Arial" w:hAnsi="Arial" w:cs="Arial"/>
                <w:b/>
                <w:bCs/>
              </w:rPr>
              <w:t>(1)</w:t>
            </w:r>
          </w:p>
          <w:p w:rsidR="008658F4" w:rsidRDefault="008658F4">
            <w:pPr>
              <w:numPr>
                <w:ilvl w:val="12"/>
                <w:numId w:val="0"/>
              </w:numPr>
              <w:ind w:left="720" w:hanging="720"/>
              <w:jc w:val="right"/>
              <w:rPr>
                <w:rFonts w:ascii="Arial" w:hAnsi="Arial" w:cs="Arial"/>
                <w:b/>
                <w:bCs/>
              </w:rPr>
            </w:pPr>
            <w:r>
              <w:rPr>
                <w:rFonts w:ascii="Arial" w:hAnsi="Arial" w:cs="Arial"/>
                <w:b/>
                <w:bCs/>
              </w:rPr>
              <w:t>Limit</w:t>
            </w:r>
          </w:p>
          <w:p w:rsidR="008658F4" w:rsidRDefault="008658F4">
            <w:pPr>
              <w:numPr>
                <w:ilvl w:val="12"/>
                <w:numId w:val="0"/>
              </w:numPr>
              <w:ind w:left="720" w:hanging="720"/>
              <w:jc w:val="right"/>
              <w:rPr>
                <w:rFonts w:ascii="Arial" w:hAnsi="Arial" w:cs="Arial"/>
                <w:b/>
                <w:bCs/>
              </w:rPr>
            </w:pPr>
            <w:r>
              <w:rPr>
                <w:rFonts w:ascii="Arial" w:hAnsi="Arial" w:cs="Arial"/>
                <w:b/>
                <w:bCs/>
              </w:rPr>
              <w:t xml:space="preserve">as set by  </w:t>
            </w:r>
          </w:p>
          <w:p w:rsidR="008658F4" w:rsidRDefault="008658F4">
            <w:pPr>
              <w:numPr>
                <w:ilvl w:val="12"/>
                <w:numId w:val="0"/>
              </w:numPr>
              <w:ind w:left="720" w:hanging="720"/>
              <w:jc w:val="right"/>
              <w:rPr>
                <w:rFonts w:ascii="Arial" w:hAnsi="Arial" w:cs="Arial"/>
                <w:b/>
                <w:bCs/>
              </w:rPr>
            </w:pPr>
            <w:r>
              <w:rPr>
                <w:rFonts w:ascii="Arial" w:hAnsi="Arial" w:cs="Arial"/>
                <w:b/>
                <w:bCs/>
              </w:rPr>
              <w:t>SGHSCD</w:t>
            </w:r>
          </w:p>
          <w:p w:rsidR="008658F4" w:rsidRDefault="008658F4">
            <w:pPr>
              <w:numPr>
                <w:ilvl w:val="12"/>
                <w:numId w:val="0"/>
              </w:numPr>
              <w:ind w:left="720" w:hanging="720"/>
              <w:jc w:val="right"/>
              <w:rPr>
                <w:rFonts w:ascii="Arial" w:eastAsiaTheme="minorHAnsi" w:hAnsi="Arial" w:cs="Arial"/>
                <w:b/>
                <w:bCs/>
                <w:sz w:val="22"/>
                <w:szCs w:val="22"/>
              </w:rPr>
            </w:pPr>
            <w:r>
              <w:rPr>
                <w:rFonts w:ascii="Arial" w:hAnsi="Arial" w:cs="Arial"/>
                <w:b/>
                <w:bCs/>
              </w:rPr>
              <w:t>£000</w:t>
            </w: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b/>
                <w:bCs/>
                <w:sz w:val="22"/>
                <w:szCs w:val="22"/>
              </w:rPr>
            </w:pPr>
          </w:p>
        </w:tc>
        <w:tc>
          <w:tcPr>
            <w:tcW w:w="1182"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b/>
                <w:bCs/>
                <w:sz w:val="22"/>
                <w:szCs w:val="22"/>
              </w:rPr>
            </w:pPr>
            <w:r>
              <w:rPr>
                <w:rFonts w:ascii="Arial" w:hAnsi="Arial" w:cs="Arial"/>
                <w:b/>
                <w:bCs/>
              </w:rPr>
              <w:t>(2)</w:t>
            </w:r>
          </w:p>
          <w:p w:rsidR="008658F4" w:rsidRDefault="008658F4">
            <w:pPr>
              <w:numPr>
                <w:ilvl w:val="12"/>
                <w:numId w:val="0"/>
              </w:numPr>
              <w:ind w:left="720" w:hanging="720"/>
              <w:jc w:val="right"/>
              <w:rPr>
                <w:rFonts w:ascii="Arial" w:hAnsi="Arial" w:cs="Arial"/>
                <w:b/>
                <w:bCs/>
              </w:rPr>
            </w:pPr>
          </w:p>
          <w:p w:rsidR="008658F4" w:rsidRDefault="008658F4">
            <w:pPr>
              <w:numPr>
                <w:ilvl w:val="12"/>
                <w:numId w:val="0"/>
              </w:numPr>
              <w:ind w:left="720" w:hanging="720"/>
              <w:jc w:val="right"/>
              <w:rPr>
                <w:rFonts w:ascii="Arial" w:hAnsi="Arial" w:cs="Arial"/>
                <w:b/>
                <w:bCs/>
              </w:rPr>
            </w:pPr>
            <w:r>
              <w:rPr>
                <w:rFonts w:ascii="Arial" w:hAnsi="Arial" w:cs="Arial"/>
                <w:b/>
                <w:bCs/>
              </w:rPr>
              <w:t>Actual</w:t>
            </w:r>
          </w:p>
          <w:p w:rsidR="008658F4" w:rsidRDefault="008658F4">
            <w:pPr>
              <w:numPr>
                <w:ilvl w:val="12"/>
                <w:numId w:val="0"/>
              </w:numPr>
              <w:ind w:left="720" w:hanging="720"/>
              <w:jc w:val="right"/>
              <w:rPr>
                <w:rFonts w:ascii="Arial" w:hAnsi="Arial" w:cs="Arial"/>
                <w:b/>
                <w:bCs/>
              </w:rPr>
            </w:pPr>
            <w:r>
              <w:rPr>
                <w:rFonts w:ascii="Arial" w:hAnsi="Arial" w:cs="Arial"/>
                <w:b/>
                <w:bCs/>
              </w:rPr>
              <w:t>outturn</w:t>
            </w:r>
          </w:p>
          <w:p w:rsidR="008658F4" w:rsidRDefault="008658F4">
            <w:pPr>
              <w:numPr>
                <w:ilvl w:val="12"/>
                <w:numId w:val="0"/>
              </w:numPr>
              <w:ind w:left="720" w:hanging="720"/>
              <w:jc w:val="right"/>
              <w:rPr>
                <w:rFonts w:ascii="Arial" w:eastAsiaTheme="minorHAnsi" w:hAnsi="Arial" w:cs="Arial"/>
                <w:b/>
                <w:bCs/>
                <w:sz w:val="22"/>
                <w:szCs w:val="22"/>
              </w:rPr>
            </w:pPr>
            <w:r>
              <w:rPr>
                <w:rFonts w:ascii="Arial" w:hAnsi="Arial" w:cs="Arial"/>
                <w:b/>
                <w:bCs/>
              </w:rPr>
              <w:t>£000</w:t>
            </w:r>
          </w:p>
        </w:tc>
        <w:tc>
          <w:tcPr>
            <w:tcW w:w="17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b/>
                <w:bCs/>
                <w:sz w:val="22"/>
                <w:szCs w:val="22"/>
              </w:rPr>
            </w:pPr>
          </w:p>
        </w:tc>
        <w:tc>
          <w:tcPr>
            <w:tcW w:w="1418"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b/>
                <w:bCs/>
                <w:sz w:val="22"/>
                <w:szCs w:val="22"/>
              </w:rPr>
            </w:pPr>
            <w:r>
              <w:rPr>
                <w:rFonts w:ascii="Arial" w:hAnsi="Arial" w:cs="Arial"/>
                <w:b/>
                <w:bCs/>
              </w:rPr>
              <w:t>(3)</w:t>
            </w:r>
          </w:p>
          <w:p w:rsidR="008658F4" w:rsidRDefault="008658F4">
            <w:pPr>
              <w:numPr>
                <w:ilvl w:val="12"/>
                <w:numId w:val="0"/>
              </w:numPr>
              <w:ind w:left="720" w:hanging="720"/>
              <w:jc w:val="right"/>
              <w:rPr>
                <w:rFonts w:ascii="Arial" w:hAnsi="Arial" w:cs="Arial"/>
                <w:b/>
                <w:bCs/>
              </w:rPr>
            </w:pPr>
            <w:r>
              <w:rPr>
                <w:rFonts w:ascii="Arial" w:hAnsi="Arial" w:cs="Arial"/>
                <w:b/>
                <w:bCs/>
              </w:rPr>
              <w:t>Variance</w:t>
            </w:r>
          </w:p>
          <w:p w:rsidR="008658F4" w:rsidRDefault="008658F4">
            <w:pPr>
              <w:numPr>
                <w:ilvl w:val="12"/>
                <w:numId w:val="0"/>
              </w:numPr>
              <w:ind w:left="720" w:hanging="720"/>
              <w:jc w:val="right"/>
              <w:rPr>
                <w:rFonts w:ascii="Arial" w:hAnsi="Arial" w:cs="Arial"/>
                <w:b/>
                <w:bCs/>
              </w:rPr>
            </w:pPr>
            <w:r>
              <w:rPr>
                <w:rFonts w:ascii="Arial" w:hAnsi="Arial" w:cs="Arial"/>
                <w:b/>
                <w:bCs/>
              </w:rPr>
              <w:t>over(-)/under</w:t>
            </w:r>
          </w:p>
          <w:p w:rsidR="008658F4" w:rsidRDefault="008658F4">
            <w:pPr>
              <w:numPr>
                <w:ilvl w:val="12"/>
                <w:numId w:val="0"/>
              </w:numPr>
              <w:ind w:left="720" w:hanging="720"/>
              <w:jc w:val="right"/>
              <w:rPr>
                <w:rFonts w:ascii="Arial" w:hAnsi="Arial" w:cs="Arial"/>
                <w:b/>
                <w:bCs/>
              </w:rPr>
            </w:pPr>
            <w:r>
              <w:rPr>
                <w:rFonts w:ascii="Arial" w:hAnsi="Arial" w:cs="Arial"/>
                <w:b/>
                <w:bCs/>
              </w:rPr>
              <w:t>(1) - (2)</w:t>
            </w:r>
          </w:p>
          <w:p w:rsidR="008658F4" w:rsidRDefault="008658F4">
            <w:pPr>
              <w:numPr>
                <w:ilvl w:val="12"/>
                <w:numId w:val="0"/>
              </w:numPr>
              <w:ind w:left="720" w:hanging="720"/>
              <w:jc w:val="right"/>
              <w:rPr>
                <w:rFonts w:ascii="Arial" w:eastAsiaTheme="minorHAnsi" w:hAnsi="Arial" w:cs="Arial"/>
                <w:b/>
                <w:bCs/>
                <w:sz w:val="22"/>
                <w:szCs w:val="22"/>
              </w:rPr>
            </w:pPr>
            <w:r>
              <w:rPr>
                <w:rFonts w:ascii="Arial" w:hAnsi="Arial" w:cs="Arial"/>
                <w:b/>
                <w:bCs/>
              </w:rPr>
              <w:t>£000</w:t>
            </w:r>
          </w:p>
        </w:tc>
      </w:tr>
      <w:tr w:rsidR="008658F4" w:rsidTr="008658F4">
        <w:trPr>
          <w:cantSplit/>
        </w:trPr>
        <w:tc>
          <w:tcPr>
            <w:tcW w:w="3441" w:type="dxa"/>
            <w:tcMar>
              <w:top w:w="0" w:type="dxa"/>
              <w:left w:w="28" w:type="dxa"/>
              <w:bottom w:w="0" w:type="dxa"/>
              <w:right w:w="28" w:type="dxa"/>
            </w:tcMar>
            <w:hideMark/>
          </w:tcPr>
          <w:p w:rsidR="008658F4" w:rsidRDefault="008658F4">
            <w:pPr>
              <w:numPr>
                <w:ilvl w:val="12"/>
                <w:numId w:val="0"/>
              </w:numPr>
              <w:ind w:left="720" w:hanging="720"/>
              <w:rPr>
                <w:rFonts w:ascii="Arial" w:eastAsiaTheme="minorHAnsi" w:hAnsi="Arial" w:cs="Arial"/>
                <w:sz w:val="22"/>
                <w:szCs w:val="22"/>
              </w:rPr>
            </w:pPr>
            <w:r>
              <w:rPr>
                <w:rFonts w:ascii="Arial" w:hAnsi="Arial" w:cs="Arial"/>
              </w:rPr>
              <w:t>Core revenue resource limit</w:t>
            </w: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170"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rPr>
            </w:pPr>
            <w:r>
              <w:rPr>
                <w:rFonts w:ascii="Arial" w:hAnsi="Arial" w:cs="Arial"/>
              </w:rPr>
              <w:t>20,368</w:t>
            </w: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182"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rPr>
            </w:pPr>
            <w:r>
              <w:rPr>
                <w:rFonts w:ascii="Arial" w:hAnsi="Arial" w:cs="Arial"/>
              </w:rPr>
              <w:t>20,154</w:t>
            </w:r>
          </w:p>
        </w:tc>
        <w:tc>
          <w:tcPr>
            <w:tcW w:w="17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418"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rPr>
            </w:pPr>
            <w:r>
              <w:rPr>
                <w:rFonts w:ascii="Arial" w:hAnsi="Arial" w:cs="Arial"/>
              </w:rPr>
              <w:t>214</w:t>
            </w:r>
          </w:p>
        </w:tc>
      </w:tr>
      <w:tr w:rsidR="008658F4" w:rsidTr="008658F4">
        <w:trPr>
          <w:cantSplit/>
        </w:trPr>
        <w:tc>
          <w:tcPr>
            <w:tcW w:w="3441" w:type="dxa"/>
            <w:tcMar>
              <w:top w:w="0" w:type="dxa"/>
              <w:left w:w="28" w:type="dxa"/>
              <w:bottom w:w="0" w:type="dxa"/>
              <w:right w:w="28" w:type="dxa"/>
            </w:tcMar>
            <w:vAlign w:val="center"/>
            <w:hideMark/>
          </w:tcPr>
          <w:p w:rsidR="008658F4" w:rsidRDefault="008658F4">
            <w:pPr>
              <w:numPr>
                <w:ilvl w:val="12"/>
                <w:numId w:val="0"/>
              </w:numPr>
              <w:ind w:left="720" w:hanging="720"/>
              <w:rPr>
                <w:rFonts w:ascii="Arial" w:eastAsiaTheme="minorHAnsi" w:hAnsi="Arial" w:cs="Arial"/>
                <w:sz w:val="22"/>
                <w:szCs w:val="22"/>
              </w:rPr>
            </w:pPr>
            <w:proofErr w:type="spellStart"/>
            <w:r>
              <w:rPr>
                <w:rFonts w:ascii="Arial" w:hAnsi="Arial" w:cs="Arial"/>
              </w:rPr>
              <w:t>Non core</w:t>
            </w:r>
            <w:proofErr w:type="spellEnd"/>
            <w:r>
              <w:rPr>
                <w:rFonts w:ascii="Arial" w:hAnsi="Arial" w:cs="Arial"/>
              </w:rPr>
              <w:t xml:space="preserve"> revenue resource limit</w:t>
            </w:r>
          </w:p>
          <w:p w:rsidR="008658F4" w:rsidRDefault="008658F4">
            <w:pPr>
              <w:numPr>
                <w:ilvl w:val="12"/>
                <w:numId w:val="0"/>
              </w:numPr>
              <w:ind w:left="720" w:hanging="720"/>
              <w:rPr>
                <w:rFonts w:ascii="Arial" w:eastAsiaTheme="minorHAnsi" w:hAnsi="Arial" w:cs="Arial"/>
                <w:sz w:val="22"/>
                <w:szCs w:val="22"/>
              </w:rPr>
            </w:pPr>
            <w:r>
              <w:rPr>
                <w:rFonts w:ascii="Arial" w:hAnsi="Arial" w:cs="Arial"/>
              </w:rPr>
              <w:t>(depreciation)</w:t>
            </w: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170" w:type="dxa"/>
            <w:tcMar>
              <w:top w:w="0" w:type="dxa"/>
              <w:left w:w="28" w:type="dxa"/>
              <w:bottom w:w="0" w:type="dxa"/>
              <w:right w:w="28" w:type="dxa"/>
            </w:tcMar>
            <w:vAlign w:val="bottom"/>
            <w:hideMark/>
          </w:tcPr>
          <w:p w:rsidR="008658F4" w:rsidRDefault="008658F4">
            <w:pPr>
              <w:numPr>
                <w:ilvl w:val="12"/>
                <w:numId w:val="0"/>
              </w:numPr>
              <w:ind w:left="720" w:hanging="720"/>
              <w:jc w:val="right"/>
              <w:rPr>
                <w:rFonts w:ascii="Arial" w:eastAsiaTheme="minorHAnsi" w:hAnsi="Arial" w:cs="Arial"/>
                <w:sz w:val="22"/>
                <w:szCs w:val="22"/>
              </w:rPr>
            </w:pPr>
            <w:r>
              <w:rPr>
                <w:rFonts w:ascii="Arial" w:hAnsi="Arial" w:cs="Arial"/>
              </w:rPr>
              <w:t>260</w:t>
            </w:r>
          </w:p>
        </w:tc>
        <w:tc>
          <w:tcPr>
            <w:tcW w:w="180" w:type="dxa"/>
            <w:tcMar>
              <w:top w:w="0" w:type="dxa"/>
              <w:left w:w="28" w:type="dxa"/>
              <w:bottom w:w="0" w:type="dxa"/>
              <w:right w:w="28" w:type="dxa"/>
            </w:tcMar>
            <w:vAlign w:val="bottom"/>
          </w:tcPr>
          <w:p w:rsidR="008658F4" w:rsidRDefault="008658F4">
            <w:pPr>
              <w:numPr>
                <w:ilvl w:val="12"/>
                <w:numId w:val="0"/>
              </w:numPr>
              <w:ind w:left="720" w:hanging="720"/>
              <w:jc w:val="right"/>
              <w:rPr>
                <w:rFonts w:ascii="Arial" w:eastAsiaTheme="minorHAnsi" w:hAnsi="Arial" w:cs="Arial"/>
                <w:sz w:val="22"/>
                <w:szCs w:val="22"/>
              </w:rPr>
            </w:pPr>
          </w:p>
        </w:tc>
        <w:tc>
          <w:tcPr>
            <w:tcW w:w="1182" w:type="dxa"/>
            <w:tcMar>
              <w:top w:w="0" w:type="dxa"/>
              <w:left w:w="28" w:type="dxa"/>
              <w:bottom w:w="0" w:type="dxa"/>
              <w:right w:w="28" w:type="dxa"/>
            </w:tcMar>
            <w:vAlign w:val="bottom"/>
            <w:hideMark/>
          </w:tcPr>
          <w:p w:rsidR="008658F4" w:rsidRDefault="008658F4">
            <w:pPr>
              <w:numPr>
                <w:ilvl w:val="12"/>
                <w:numId w:val="0"/>
              </w:numPr>
              <w:ind w:left="720" w:hanging="720"/>
              <w:jc w:val="right"/>
              <w:rPr>
                <w:rFonts w:ascii="Arial" w:eastAsiaTheme="minorHAnsi" w:hAnsi="Arial" w:cs="Arial"/>
                <w:sz w:val="22"/>
                <w:szCs w:val="22"/>
              </w:rPr>
            </w:pPr>
            <w:r>
              <w:rPr>
                <w:rFonts w:ascii="Arial" w:hAnsi="Arial" w:cs="Arial"/>
              </w:rPr>
              <w:t>260</w:t>
            </w:r>
          </w:p>
        </w:tc>
        <w:tc>
          <w:tcPr>
            <w:tcW w:w="17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418"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p w:rsidR="008658F4" w:rsidRDefault="008658F4">
            <w:pPr>
              <w:numPr>
                <w:ilvl w:val="12"/>
                <w:numId w:val="0"/>
              </w:numPr>
              <w:ind w:left="720" w:hanging="720"/>
              <w:jc w:val="right"/>
              <w:rPr>
                <w:rFonts w:ascii="Arial" w:eastAsiaTheme="minorHAnsi" w:hAnsi="Arial" w:cs="Arial"/>
                <w:sz w:val="22"/>
                <w:szCs w:val="22"/>
              </w:rPr>
            </w:pPr>
            <w:r>
              <w:rPr>
                <w:rFonts w:ascii="Arial" w:hAnsi="Arial" w:cs="Arial"/>
              </w:rPr>
              <w:t>-</w:t>
            </w:r>
          </w:p>
        </w:tc>
      </w:tr>
      <w:tr w:rsidR="008658F4" w:rsidTr="008658F4">
        <w:trPr>
          <w:cantSplit/>
        </w:trPr>
        <w:tc>
          <w:tcPr>
            <w:tcW w:w="3441" w:type="dxa"/>
            <w:tcMar>
              <w:top w:w="0" w:type="dxa"/>
              <w:left w:w="28" w:type="dxa"/>
              <w:bottom w:w="0" w:type="dxa"/>
              <w:right w:w="28" w:type="dxa"/>
            </w:tcMar>
            <w:hideMark/>
          </w:tcPr>
          <w:p w:rsidR="008658F4" w:rsidRDefault="008658F4">
            <w:pPr>
              <w:numPr>
                <w:ilvl w:val="12"/>
                <w:numId w:val="0"/>
              </w:numPr>
              <w:ind w:left="720" w:hanging="720"/>
              <w:rPr>
                <w:rFonts w:ascii="Arial" w:eastAsiaTheme="minorHAnsi" w:hAnsi="Arial" w:cs="Arial"/>
                <w:sz w:val="22"/>
                <w:szCs w:val="22"/>
              </w:rPr>
            </w:pPr>
            <w:r>
              <w:rPr>
                <w:rFonts w:ascii="Arial" w:hAnsi="Arial" w:cs="Arial"/>
              </w:rPr>
              <w:t>Core capital resource limit*</w:t>
            </w: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170"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rPr>
            </w:pPr>
            <w:r>
              <w:rPr>
                <w:rFonts w:ascii="Arial" w:hAnsi="Arial" w:cs="Arial"/>
              </w:rPr>
              <w:t>(816)</w:t>
            </w:r>
          </w:p>
        </w:tc>
        <w:tc>
          <w:tcPr>
            <w:tcW w:w="180" w:type="dxa"/>
            <w:tcMar>
              <w:top w:w="0" w:type="dxa"/>
              <w:left w:w="28" w:type="dxa"/>
              <w:bottom w:w="0" w:type="dxa"/>
              <w:right w:w="28" w:type="dxa"/>
            </w:tcMar>
          </w:tcPr>
          <w:p w:rsidR="008658F4" w:rsidRDefault="008658F4">
            <w:pPr>
              <w:numPr>
                <w:ilvl w:val="12"/>
                <w:numId w:val="0"/>
              </w:numPr>
              <w:rPr>
                <w:rFonts w:ascii="Arial" w:eastAsiaTheme="minorHAnsi" w:hAnsi="Arial" w:cs="Arial"/>
                <w:sz w:val="22"/>
                <w:szCs w:val="22"/>
              </w:rPr>
            </w:pPr>
          </w:p>
        </w:tc>
        <w:tc>
          <w:tcPr>
            <w:tcW w:w="1182"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rPr>
            </w:pPr>
            <w:r>
              <w:rPr>
                <w:rFonts w:ascii="Arial" w:hAnsi="Arial" w:cs="Arial"/>
              </w:rPr>
              <w:t>(864)</w:t>
            </w:r>
          </w:p>
        </w:tc>
        <w:tc>
          <w:tcPr>
            <w:tcW w:w="17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418"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rPr>
            </w:pPr>
            <w:r>
              <w:rPr>
                <w:rFonts w:ascii="Arial" w:hAnsi="Arial" w:cs="Arial"/>
              </w:rPr>
              <w:t>48</w:t>
            </w:r>
          </w:p>
        </w:tc>
      </w:tr>
      <w:tr w:rsidR="008658F4" w:rsidTr="008658F4">
        <w:trPr>
          <w:cantSplit/>
        </w:trPr>
        <w:tc>
          <w:tcPr>
            <w:tcW w:w="3441" w:type="dxa"/>
            <w:tcMar>
              <w:top w:w="0" w:type="dxa"/>
              <w:left w:w="28" w:type="dxa"/>
              <w:bottom w:w="0" w:type="dxa"/>
              <w:right w:w="28" w:type="dxa"/>
            </w:tcMar>
            <w:hideMark/>
          </w:tcPr>
          <w:p w:rsidR="008658F4" w:rsidRDefault="008658F4">
            <w:pPr>
              <w:numPr>
                <w:ilvl w:val="12"/>
                <w:numId w:val="0"/>
              </w:numPr>
              <w:ind w:left="720" w:hanging="720"/>
              <w:rPr>
                <w:rFonts w:ascii="Arial" w:eastAsiaTheme="minorHAnsi" w:hAnsi="Arial" w:cs="Arial"/>
                <w:sz w:val="22"/>
                <w:szCs w:val="22"/>
              </w:rPr>
            </w:pPr>
            <w:r>
              <w:rPr>
                <w:rFonts w:ascii="Arial" w:hAnsi="Arial" w:cs="Arial"/>
              </w:rPr>
              <w:t>Cash requirement</w:t>
            </w: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u w:val="single"/>
              </w:rPr>
            </w:pPr>
          </w:p>
        </w:tc>
        <w:tc>
          <w:tcPr>
            <w:tcW w:w="1170"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rPr>
            </w:pPr>
            <w:r>
              <w:rPr>
                <w:rFonts w:ascii="Arial" w:hAnsi="Arial" w:cs="Arial"/>
              </w:rPr>
              <w:t>20,535</w:t>
            </w: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u w:val="single"/>
              </w:rPr>
            </w:pPr>
          </w:p>
        </w:tc>
        <w:tc>
          <w:tcPr>
            <w:tcW w:w="1182"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rPr>
            </w:pPr>
            <w:r>
              <w:rPr>
                <w:rFonts w:ascii="Arial" w:hAnsi="Arial" w:cs="Arial"/>
              </w:rPr>
              <w:t>29,535</w:t>
            </w:r>
          </w:p>
        </w:tc>
        <w:tc>
          <w:tcPr>
            <w:tcW w:w="17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u w:val="single"/>
              </w:rPr>
            </w:pPr>
          </w:p>
        </w:tc>
        <w:tc>
          <w:tcPr>
            <w:tcW w:w="1418"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rPr>
            </w:pPr>
            <w:r>
              <w:rPr>
                <w:rFonts w:ascii="Arial" w:hAnsi="Arial" w:cs="Arial"/>
              </w:rPr>
              <w:t>-</w:t>
            </w:r>
          </w:p>
        </w:tc>
      </w:tr>
    </w:tbl>
    <w:p w:rsidR="008658F4" w:rsidRDefault="008658F4" w:rsidP="008658F4">
      <w:pPr>
        <w:rPr>
          <w:rFonts w:ascii="Calibri" w:eastAsiaTheme="minorHAnsi" w:hAnsi="Calibri" w:cs="Calibri"/>
          <w:sz w:val="22"/>
          <w:szCs w:val="22"/>
        </w:rPr>
      </w:pPr>
    </w:p>
    <w:p w:rsidR="008658F4" w:rsidRDefault="008658F4" w:rsidP="008658F4">
      <w:r>
        <w:t xml:space="preserve">                  </w:t>
      </w:r>
    </w:p>
    <w:tbl>
      <w:tblPr>
        <w:tblW w:w="0" w:type="auto"/>
        <w:tblInd w:w="817" w:type="dxa"/>
        <w:tblCellMar>
          <w:left w:w="0" w:type="dxa"/>
          <w:right w:w="0" w:type="dxa"/>
        </w:tblCellMar>
        <w:tblLook w:val="04A0" w:firstRow="1" w:lastRow="0" w:firstColumn="1" w:lastColumn="0" w:noHBand="0" w:noVBand="1"/>
      </w:tblPr>
      <w:tblGrid>
        <w:gridCol w:w="3441"/>
        <w:gridCol w:w="180"/>
        <w:gridCol w:w="1170"/>
        <w:gridCol w:w="180"/>
        <w:gridCol w:w="1182"/>
        <w:gridCol w:w="170"/>
        <w:gridCol w:w="1418"/>
      </w:tblGrid>
      <w:tr w:rsidR="008658F4" w:rsidTr="008658F4">
        <w:trPr>
          <w:cantSplit/>
        </w:trPr>
        <w:tc>
          <w:tcPr>
            <w:tcW w:w="3441" w:type="dxa"/>
            <w:tcMar>
              <w:top w:w="0" w:type="dxa"/>
              <w:left w:w="28" w:type="dxa"/>
              <w:bottom w:w="0" w:type="dxa"/>
              <w:right w:w="28" w:type="dxa"/>
            </w:tcMar>
            <w:hideMark/>
          </w:tcPr>
          <w:p w:rsidR="008658F4" w:rsidRDefault="008658F4">
            <w:pPr>
              <w:numPr>
                <w:ilvl w:val="12"/>
                <w:numId w:val="0"/>
              </w:numPr>
              <w:ind w:left="720" w:hanging="720"/>
              <w:rPr>
                <w:rFonts w:ascii="Arial" w:eastAsiaTheme="minorHAnsi" w:hAnsi="Arial" w:cs="Arial"/>
                <w:sz w:val="22"/>
                <w:szCs w:val="22"/>
              </w:rPr>
            </w:pPr>
            <w:r>
              <w:rPr>
                <w:rFonts w:ascii="Arial" w:hAnsi="Arial" w:cs="Arial"/>
              </w:rPr>
              <w:t>*Core revenue resource limit</w:t>
            </w: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17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182"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7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418"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r>
      <w:tr w:rsidR="008658F4" w:rsidTr="008658F4">
        <w:trPr>
          <w:cantSplit/>
        </w:trPr>
        <w:tc>
          <w:tcPr>
            <w:tcW w:w="3441" w:type="dxa"/>
            <w:tcMar>
              <w:top w:w="0" w:type="dxa"/>
              <w:left w:w="28" w:type="dxa"/>
              <w:bottom w:w="0" w:type="dxa"/>
              <w:right w:w="28" w:type="dxa"/>
            </w:tcMar>
            <w:hideMark/>
          </w:tcPr>
          <w:p w:rsidR="008658F4" w:rsidRDefault="008658F4">
            <w:pPr>
              <w:numPr>
                <w:ilvl w:val="12"/>
                <w:numId w:val="0"/>
              </w:numPr>
              <w:ind w:left="720" w:hanging="720"/>
              <w:rPr>
                <w:rFonts w:ascii="Arial" w:eastAsiaTheme="minorHAnsi" w:hAnsi="Arial" w:cs="Arial"/>
                <w:sz w:val="22"/>
                <w:szCs w:val="22"/>
              </w:rPr>
            </w:pPr>
            <w:r>
              <w:rPr>
                <w:rFonts w:ascii="Arial" w:hAnsi="Arial" w:cs="Arial"/>
              </w:rPr>
              <w:t>Woodburn House transfer to LHB</w:t>
            </w: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170"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rPr>
            </w:pPr>
            <w:r>
              <w:rPr>
                <w:rFonts w:ascii="Arial" w:hAnsi="Arial" w:cs="Arial"/>
              </w:rPr>
              <w:t>(1,166)</w:t>
            </w: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182"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rPr>
            </w:pPr>
            <w:r>
              <w:rPr>
                <w:rFonts w:ascii="Arial" w:hAnsi="Arial" w:cs="Arial"/>
              </w:rPr>
              <w:t>(1,166)</w:t>
            </w:r>
          </w:p>
        </w:tc>
        <w:tc>
          <w:tcPr>
            <w:tcW w:w="17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418"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rPr>
            </w:pPr>
            <w:r>
              <w:rPr>
                <w:rFonts w:ascii="Arial" w:hAnsi="Arial" w:cs="Arial"/>
              </w:rPr>
              <w:t>-</w:t>
            </w:r>
          </w:p>
        </w:tc>
      </w:tr>
      <w:tr w:rsidR="008658F4" w:rsidTr="008658F4">
        <w:trPr>
          <w:cantSplit/>
        </w:trPr>
        <w:tc>
          <w:tcPr>
            <w:tcW w:w="3441" w:type="dxa"/>
            <w:tcMar>
              <w:top w:w="0" w:type="dxa"/>
              <w:left w:w="28" w:type="dxa"/>
              <w:bottom w:w="0" w:type="dxa"/>
              <w:right w:w="28" w:type="dxa"/>
            </w:tcMar>
            <w:hideMark/>
          </w:tcPr>
          <w:p w:rsidR="008658F4" w:rsidRDefault="008658F4">
            <w:pPr>
              <w:numPr>
                <w:ilvl w:val="12"/>
                <w:numId w:val="0"/>
              </w:numPr>
              <w:ind w:left="720" w:hanging="720"/>
              <w:rPr>
                <w:rFonts w:ascii="Arial" w:eastAsiaTheme="minorHAnsi" w:hAnsi="Arial" w:cs="Arial"/>
                <w:sz w:val="22"/>
                <w:szCs w:val="22"/>
              </w:rPr>
            </w:pPr>
            <w:r>
              <w:rPr>
                <w:rFonts w:ascii="Arial" w:hAnsi="Arial" w:cs="Arial"/>
              </w:rPr>
              <w:t>Capital Additions</w:t>
            </w: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170"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u w:val="single"/>
              </w:rPr>
            </w:pPr>
            <w:r>
              <w:rPr>
                <w:rFonts w:ascii="Arial" w:hAnsi="Arial" w:cs="Arial"/>
                <w:u w:val="single"/>
              </w:rPr>
              <w:t>350</w:t>
            </w: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182"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u w:val="single"/>
              </w:rPr>
            </w:pPr>
            <w:r>
              <w:rPr>
                <w:rFonts w:ascii="Arial" w:hAnsi="Arial" w:cs="Arial"/>
                <w:u w:val="single"/>
              </w:rPr>
              <w:t>302</w:t>
            </w:r>
          </w:p>
        </w:tc>
        <w:tc>
          <w:tcPr>
            <w:tcW w:w="17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418"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u w:val="single"/>
              </w:rPr>
            </w:pPr>
            <w:r>
              <w:rPr>
                <w:rFonts w:ascii="Arial" w:hAnsi="Arial" w:cs="Arial"/>
                <w:u w:val="single"/>
              </w:rPr>
              <w:t>48</w:t>
            </w:r>
          </w:p>
        </w:tc>
      </w:tr>
      <w:tr w:rsidR="008658F4" w:rsidTr="008658F4">
        <w:trPr>
          <w:cantSplit/>
        </w:trPr>
        <w:tc>
          <w:tcPr>
            <w:tcW w:w="3441" w:type="dxa"/>
            <w:tcMar>
              <w:top w:w="0" w:type="dxa"/>
              <w:left w:w="28" w:type="dxa"/>
              <w:bottom w:w="0" w:type="dxa"/>
              <w:right w:w="28" w:type="dxa"/>
            </w:tcMar>
            <w:hideMark/>
          </w:tcPr>
          <w:p w:rsidR="008658F4" w:rsidRDefault="008658F4">
            <w:pPr>
              <w:numPr>
                <w:ilvl w:val="12"/>
                <w:numId w:val="0"/>
              </w:numPr>
              <w:rPr>
                <w:rFonts w:ascii="Arial" w:eastAsiaTheme="minorHAnsi" w:hAnsi="Arial" w:cs="Arial"/>
                <w:sz w:val="22"/>
                <w:szCs w:val="22"/>
              </w:rPr>
            </w:pPr>
            <w:r>
              <w:rPr>
                <w:rFonts w:ascii="Arial" w:hAnsi="Arial" w:cs="Arial"/>
              </w:rPr>
              <w:t>Total</w:t>
            </w: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170"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u w:val="single"/>
              </w:rPr>
            </w:pPr>
            <w:r>
              <w:rPr>
                <w:rFonts w:ascii="Arial" w:hAnsi="Arial" w:cs="Arial"/>
                <w:u w:val="single"/>
              </w:rPr>
              <w:t>(816)</w:t>
            </w: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182"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u w:val="single"/>
              </w:rPr>
            </w:pPr>
            <w:r>
              <w:rPr>
                <w:rFonts w:ascii="Arial" w:hAnsi="Arial" w:cs="Arial"/>
                <w:u w:val="single"/>
              </w:rPr>
              <w:t>(864)</w:t>
            </w:r>
          </w:p>
        </w:tc>
        <w:tc>
          <w:tcPr>
            <w:tcW w:w="17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418" w:type="dxa"/>
            <w:tcMar>
              <w:top w:w="0" w:type="dxa"/>
              <w:left w:w="28" w:type="dxa"/>
              <w:bottom w:w="0" w:type="dxa"/>
              <w:right w:w="28" w:type="dxa"/>
            </w:tcMar>
            <w:hideMark/>
          </w:tcPr>
          <w:p w:rsidR="008658F4" w:rsidRDefault="008658F4">
            <w:pPr>
              <w:numPr>
                <w:ilvl w:val="12"/>
                <w:numId w:val="0"/>
              </w:numPr>
              <w:ind w:left="720" w:hanging="720"/>
              <w:jc w:val="right"/>
              <w:rPr>
                <w:rFonts w:ascii="Arial" w:eastAsiaTheme="minorHAnsi" w:hAnsi="Arial" w:cs="Arial"/>
                <w:sz w:val="22"/>
                <w:szCs w:val="22"/>
                <w:u w:val="single"/>
              </w:rPr>
            </w:pPr>
            <w:r>
              <w:rPr>
                <w:rFonts w:ascii="Arial" w:hAnsi="Arial" w:cs="Arial"/>
                <w:u w:val="single"/>
              </w:rPr>
              <w:t>48</w:t>
            </w:r>
          </w:p>
        </w:tc>
      </w:tr>
    </w:tbl>
    <w:p w:rsidR="008658F4" w:rsidRDefault="008658F4" w:rsidP="008658F4">
      <w:pPr>
        <w:ind w:firstLine="720"/>
        <w:rPr>
          <w:rFonts w:ascii="Arial" w:eastAsiaTheme="minorHAnsi" w:hAnsi="Arial" w:cs="Arial"/>
          <w:sz w:val="22"/>
          <w:szCs w:val="22"/>
        </w:rPr>
      </w:pPr>
      <w:r>
        <w:rPr>
          <w:rFonts w:ascii="Arial" w:hAnsi="Arial" w:cs="Arial"/>
        </w:rPr>
        <w:t xml:space="preserve">                                                            </w:t>
      </w:r>
    </w:p>
    <w:tbl>
      <w:tblPr>
        <w:tblW w:w="0" w:type="auto"/>
        <w:tblInd w:w="817" w:type="dxa"/>
        <w:tblCellMar>
          <w:left w:w="0" w:type="dxa"/>
          <w:right w:w="0" w:type="dxa"/>
        </w:tblCellMar>
        <w:tblLook w:val="04A0" w:firstRow="1" w:lastRow="0" w:firstColumn="1" w:lastColumn="0" w:noHBand="0" w:noVBand="1"/>
      </w:tblPr>
      <w:tblGrid>
        <w:gridCol w:w="3441"/>
        <w:gridCol w:w="180"/>
        <w:gridCol w:w="1170"/>
        <w:gridCol w:w="180"/>
        <w:gridCol w:w="1182"/>
        <w:gridCol w:w="170"/>
        <w:gridCol w:w="1418"/>
      </w:tblGrid>
      <w:tr w:rsidR="008658F4" w:rsidTr="008658F4">
        <w:trPr>
          <w:cantSplit/>
        </w:trPr>
        <w:tc>
          <w:tcPr>
            <w:tcW w:w="3441" w:type="dxa"/>
            <w:tcMar>
              <w:top w:w="0" w:type="dxa"/>
              <w:left w:w="28" w:type="dxa"/>
              <w:bottom w:w="0" w:type="dxa"/>
              <w:right w:w="28" w:type="dxa"/>
            </w:tcMar>
          </w:tcPr>
          <w:p w:rsidR="008658F4" w:rsidRDefault="008658F4">
            <w:pPr>
              <w:numPr>
                <w:ilvl w:val="12"/>
                <w:numId w:val="0"/>
              </w:numPr>
              <w:ind w:left="720" w:hanging="720"/>
              <w:rPr>
                <w:rFonts w:ascii="Arial" w:eastAsiaTheme="minorHAnsi" w:hAnsi="Arial" w:cs="Arial"/>
                <w:sz w:val="22"/>
                <w:szCs w:val="22"/>
              </w:rPr>
            </w:pP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17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8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182"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70"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c>
          <w:tcPr>
            <w:tcW w:w="1418" w:type="dxa"/>
            <w:tcMar>
              <w:top w:w="0" w:type="dxa"/>
              <w:left w:w="28" w:type="dxa"/>
              <w:bottom w:w="0" w:type="dxa"/>
              <w:right w:w="28" w:type="dxa"/>
            </w:tcMar>
          </w:tcPr>
          <w:p w:rsidR="008658F4" w:rsidRDefault="008658F4">
            <w:pPr>
              <w:numPr>
                <w:ilvl w:val="12"/>
                <w:numId w:val="0"/>
              </w:numPr>
              <w:ind w:left="720" w:hanging="720"/>
              <w:jc w:val="right"/>
              <w:rPr>
                <w:rFonts w:ascii="Arial" w:eastAsiaTheme="minorHAnsi" w:hAnsi="Arial" w:cs="Arial"/>
                <w:sz w:val="22"/>
                <w:szCs w:val="22"/>
              </w:rPr>
            </w:pPr>
          </w:p>
        </w:tc>
      </w:tr>
    </w:tbl>
    <w:p w:rsidR="008A59ED" w:rsidRDefault="008658F4" w:rsidP="008658F4">
      <w:r>
        <w:t>               </w:t>
      </w:r>
    </w:p>
    <w:p w:rsidR="008658F4" w:rsidRDefault="00A869C2" w:rsidP="008A59ED">
      <w:pPr>
        <w:ind w:left="720" w:hanging="720"/>
        <w:rPr>
          <w:rFonts w:ascii="Arial" w:hAnsi="Arial" w:cs="Arial"/>
          <w:sz w:val="24"/>
          <w:szCs w:val="24"/>
        </w:rPr>
      </w:pPr>
      <w:r>
        <w:rPr>
          <w:rFonts w:ascii="Arial" w:hAnsi="Arial" w:cs="Arial"/>
          <w:sz w:val="24"/>
          <w:szCs w:val="24"/>
        </w:rPr>
        <w:lastRenderedPageBreak/>
        <w:t>6</w:t>
      </w:r>
      <w:r w:rsidR="008A59ED">
        <w:rPr>
          <w:rFonts w:ascii="Arial" w:hAnsi="Arial" w:cs="Arial"/>
          <w:sz w:val="24"/>
          <w:szCs w:val="24"/>
        </w:rPr>
        <w:t>.</w:t>
      </w:r>
      <w:r w:rsidR="008A59ED">
        <w:rPr>
          <w:rFonts w:ascii="Arial" w:hAnsi="Arial" w:cs="Arial"/>
          <w:sz w:val="24"/>
          <w:szCs w:val="24"/>
        </w:rPr>
        <w:tab/>
      </w:r>
      <w:r w:rsidR="008658F4" w:rsidRPr="008A59ED">
        <w:rPr>
          <w:rFonts w:ascii="Arial" w:hAnsi="Arial" w:cs="Arial"/>
          <w:sz w:val="24"/>
          <w:szCs w:val="24"/>
        </w:rPr>
        <w:t>The core revenue resource limit variance of £214k will be carried forward to 2015/16 as agreed with the Scottish Government</w:t>
      </w:r>
      <w:r w:rsidR="008A59ED">
        <w:rPr>
          <w:rFonts w:ascii="Arial" w:hAnsi="Arial" w:cs="Arial"/>
          <w:sz w:val="24"/>
          <w:szCs w:val="24"/>
        </w:rPr>
        <w:t>.</w:t>
      </w:r>
    </w:p>
    <w:p w:rsidR="008A59ED" w:rsidRPr="008A59ED" w:rsidRDefault="008A59ED" w:rsidP="008A59ED">
      <w:pPr>
        <w:ind w:left="720" w:hanging="720"/>
        <w:rPr>
          <w:rFonts w:ascii="Arial" w:eastAsiaTheme="minorHAnsi" w:hAnsi="Arial" w:cs="Arial"/>
          <w:sz w:val="24"/>
          <w:szCs w:val="24"/>
        </w:rPr>
      </w:pPr>
    </w:p>
    <w:p w:rsidR="008A59ED" w:rsidRDefault="00A869C2" w:rsidP="008A59ED">
      <w:pPr>
        <w:rPr>
          <w:rFonts w:ascii="Arial" w:hAnsi="Arial" w:cs="Arial"/>
          <w:sz w:val="24"/>
          <w:szCs w:val="24"/>
        </w:rPr>
      </w:pPr>
      <w:r>
        <w:rPr>
          <w:rFonts w:ascii="Arial" w:hAnsi="Arial" w:cs="Arial"/>
          <w:sz w:val="24"/>
          <w:szCs w:val="24"/>
        </w:rPr>
        <w:t>7</w:t>
      </w:r>
      <w:r w:rsidR="008A59ED">
        <w:rPr>
          <w:rFonts w:ascii="Arial" w:hAnsi="Arial" w:cs="Arial"/>
          <w:sz w:val="24"/>
          <w:szCs w:val="24"/>
        </w:rPr>
        <w:t>.</w:t>
      </w:r>
      <w:r w:rsidR="008658F4" w:rsidRPr="008A59ED">
        <w:rPr>
          <w:rFonts w:ascii="Arial" w:hAnsi="Arial" w:cs="Arial"/>
          <w:sz w:val="24"/>
          <w:szCs w:val="24"/>
        </w:rPr>
        <w:t xml:space="preserve">        The capital additions variance is mainly due to a VAT credit received in the </w:t>
      </w:r>
    </w:p>
    <w:p w:rsidR="008A59ED" w:rsidRDefault="008A59ED" w:rsidP="008A59ED">
      <w:pPr>
        <w:rPr>
          <w:rFonts w:ascii="Arial" w:hAnsi="Arial" w:cs="Arial"/>
          <w:sz w:val="24"/>
          <w:szCs w:val="24"/>
        </w:rPr>
      </w:pPr>
      <w:r>
        <w:rPr>
          <w:rFonts w:ascii="Arial" w:hAnsi="Arial" w:cs="Arial"/>
          <w:sz w:val="24"/>
          <w:szCs w:val="24"/>
        </w:rPr>
        <w:tab/>
      </w:r>
      <w:proofErr w:type="gramStart"/>
      <w:r>
        <w:rPr>
          <w:rFonts w:ascii="Arial" w:hAnsi="Arial" w:cs="Arial"/>
          <w:sz w:val="24"/>
          <w:szCs w:val="24"/>
        </w:rPr>
        <w:t>year</w:t>
      </w:r>
      <w:proofErr w:type="gramEnd"/>
      <w:r>
        <w:rPr>
          <w:rFonts w:ascii="Arial" w:hAnsi="Arial" w:cs="Arial"/>
          <w:sz w:val="24"/>
          <w:szCs w:val="24"/>
        </w:rPr>
        <w:t xml:space="preserve"> relating to capital additions in previous years.</w:t>
      </w:r>
    </w:p>
    <w:p w:rsidR="008A59ED" w:rsidRDefault="008A59ED" w:rsidP="008658F4"/>
    <w:p w:rsidR="008A59ED" w:rsidRDefault="008A59ED" w:rsidP="008658F4">
      <w:pPr>
        <w:rPr>
          <w:rFonts w:ascii="Arial" w:hAnsi="Arial" w:cs="Arial"/>
          <w:sz w:val="24"/>
          <w:szCs w:val="24"/>
        </w:rPr>
      </w:pPr>
      <w:r>
        <w:rPr>
          <w:rFonts w:ascii="Arial" w:hAnsi="Arial" w:cs="Arial"/>
          <w:b/>
          <w:sz w:val="24"/>
          <w:szCs w:val="24"/>
        </w:rPr>
        <w:t>Healthy Working Lives</w:t>
      </w:r>
      <w:r w:rsidR="00D514D7">
        <w:rPr>
          <w:rFonts w:ascii="Arial" w:hAnsi="Arial" w:cs="Arial"/>
          <w:b/>
          <w:sz w:val="24"/>
          <w:szCs w:val="24"/>
        </w:rPr>
        <w:t xml:space="preserve"> (HWL)</w:t>
      </w:r>
    </w:p>
    <w:p w:rsidR="008A59ED" w:rsidRDefault="008A59ED" w:rsidP="008658F4">
      <w:pPr>
        <w:rPr>
          <w:rFonts w:ascii="Arial" w:hAnsi="Arial" w:cs="Arial"/>
          <w:sz w:val="24"/>
          <w:szCs w:val="24"/>
        </w:rPr>
      </w:pPr>
    </w:p>
    <w:p w:rsidR="00A869C2" w:rsidRDefault="00A869C2" w:rsidP="00A869C2">
      <w:pPr>
        <w:ind w:left="720" w:hanging="720"/>
        <w:rPr>
          <w:rFonts w:ascii="Arial" w:hAnsi="Arial" w:cs="Arial"/>
          <w:sz w:val="28"/>
          <w:szCs w:val="28"/>
        </w:rPr>
      </w:pPr>
      <w:r>
        <w:rPr>
          <w:rFonts w:ascii="Arial" w:hAnsi="Arial" w:cs="Arial"/>
          <w:sz w:val="24"/>
          <w:szCs w:val="24"/>
        </w:rPr>
        <w:t>8</w:t>
      </w:r>
      <w:r w:rsidR="008A59ED">
        <w:rPr>
          <w:rFonts w:ascii="Arial" w:hAnsi="Arial" w:cs="Arial"/>
          <w:sz w:val="24"/>
          <w:szCs w:val="24"/>
        </w:rPr>
        <w:t>.</w:t>
      </w:r>
      <w:r w:rsidR="008A59ED">
        <w:rPr>
          <w:rFonts w:ascii="Arial" w:hAnsi="Arial" w:cs="Arial"/>
          <w:sz w:val="24"/>
          <w:szCs w:val="24"/>
        </w:rPr>
        <w:tab/>
      </w:r>
      <w:r w:rsidR="00D514D7" w:rsidRPr="00D514D7">
        <w:rPr>
          <w:rFonts w:ascii="Arial" w:hAnsi="Arial" w:cs="Arial"/>
          <w:sz w:val="24"/>
          <w:szCs w:val="24"/>
        </w:rPr>
        <w:t xml:space="preserve">A general agreement has been reached with the HWL Joint Sub Group comprising Andrew Fraser, Steve Bell, Sarah Taylor (DPH </w:t>
      </w:r>
      <w:r w:rsidR="00C57451">
        <w:rPr>
          <w:rFonts w:ascii="Arial" w:hAnsi="Arial" w:cs="Arial"/>
          <w:sz w:val="24"/>
          <w:szCs w:val="24"/>
        </w:rPr>
        <w:t>Shetland</w:t>
      </w:r>
      <w:bookmarkStart w:id="0" w:name="_GoBack"/>
      <w:bookmarkEnd w:id="0"/>
      <w:r w:rsidR="00D514D7" w:rsidRPr="00D514D7">
        <w:rPr>
          <w:rFonts w:ascii="Arial" w:hAnsi="Arial" w:cs="Arial"/>
          <w:sz w:val="24"/>
          <w:szCs w:val="24"/>
        </w:rPr>
        <w:t xml:space="preserve">) and Susan Webb (Acting DPH Grampian) on the way forward for the programme, with only a small number of matters outstanding.  The agreement is due to be discussed by the Scottish Directors of Public Health on Friday 29th May.     The agreed approach remains true to </w:t>
      </w:r>
      <w:r w:rsidR="00D514D7">
        <w:rPr>
          <w:rFonts w:ascii="Arial" w:hAnsi="Arial" w:cs="Arial"/>
          <w:sz w:val="24"/>
          <w:szCs w:val="24"/>
        </w:rPr>
        <w:t xml:space="preserve">the </w:t>
      </w:r>
      <w:r w:rsidR="00D514D7" w:rsidRPr="00D514D7">
        <w:rPr>
          <w:rFonts w:ascii="Arial" w:hAnsi="Arial" w:cs="Arial"/>
          <w:sz w:val="24"/>
          <w:szCs w:val="24"/>
        </w:rPr>
        <w:t>strategic objectives of Health Scotland and the working principles agreed in 2014</w:t>
      </w:r>
      <w:r w:rsidR="00431EE6">
        <w:rPr>
          <w:rFonts w:ascii="Arial" w:hAnsi="Arial" w:cs="Arial"/>
          <w:sz w:val="24"/>
          <w:szCs w:val="24"/>
        </w:rPr>
        <w:t>,</w:t>
      </w:r>
      <w:r w:rsidR="00D514D7" w:rsidRPr="00D514D7">
        <w:rPr>
          <w:rFonts w:ascii="Arial" w:hAnsi="Arial" w:cs="Arial"/>
          <w:sz w:val="24"/>
          <w:szCs w:val="24"/>
        </w:rPr>
        <w:t xml:space="preserve"> with the support of Ann Maree Wallace</w:t>
      </w:r>
      <w:r w:rsidR="00431EE6">
        <w:rPr>
          <w:rFonts w:ascii="Arial" w:hAnsi="Arial" w:cs="Arial"/>
          <w:sz w:val="24"/>
          <w:szCs w:val="24"/>
        </w:rPr>
        <w:t>,</w:t>
      </w:r>
      <w:r w:rsidR="00D514D7" w:rsidRPr="00D514D7">
        <w:rPr>
          <w:rFonts w:ascii="Arial" w:hAnsi="Arial" w:cs="Arial"/>
          <w:sz w:val="24"/>
          <w:szCs w:val="24"/>
        </w:rPr>
        <w:t xml:space="preserve"> and includes a plan for implementing the new partnership model of working by April 2016 as originally planned and within budget. </w:t>
      </w:r>
      <w:r>
        <w:rPr>
          <w:rFonts w:ascii="Arial" w:hAnsi="Arial" w:cs="Arial"/>
          <w:sz w:val="28"/>
          <w:szCs w:val="28"/>
        </w:rPr>
        <w:t> </w:t>
      </w:r>
    </w:p>
    <w:p w:rsidR="00A869C2" w:rsidRDefault="00A869C2" w:rsidP="00A869C2">
      <w:pPr>
        <w:ind w:left="720" w:hanging="720"/>
        <w:rPr>
          <w:rFonts w:ascii="Arial" w:hAnsi="Arial" w:cs="Arial"/>
          <w:sz w:val="28"/>
          <w:szCs w:val="28"/>
        </w:rPr>
      </w:pPr>
    </w:p>
    <w:p w:rsidR="00A869C2" w:rsidRDefault="00A869C2" w:rsidP="00A869C2">
      <w:pPr>
        <w:ind w:left="720" w:hanging="720"/>
        <w:rPr>
          <w:rFonts w:ascii="Arial" w:hAnsi="Arial" w:cs="Arial"/>
          <w:sz w:val="24"/>
          <w:szCs w:val="24"/>
        </w:rPr>
      </w:pPr>
      <w:r>
        <w:rPr>
          <w:rFonts w:ascii="Arial" w:hAnsi="Arial" w:cs="Arial"/>
          <w:b/>
          <w:sz w:val="24"/>
          <w:szCs w:val="24"/>
        </w:rPr>
        <w:t>Functional Alignment – Programme Design and Delivery Directorate (PDD)</w:t>
      </w:r>
    </w:p>
    <w:p w:rsidR="00A869C2" w:rsidRDefault="00A869C2" w:rsidP="00A869C2">
      <w:pPr>
        <w:ind w:left="720" w:hanging="720"/>
        <w:rPr>
          <w:rFonts w:ascii="Arial" w:hAnsi="Arial" w:cs="Arial"/>
          <w:sz w:val="24"/>
          <w:szCs w:val="24"/>
        </w:rPr>
      </w:pPr>
    </w:p>
    <w:p w:rsidR="00431EE6" w:rsidRDefault="00A869C2" w:rsidP="00431EE6">
      <w:pPr>
        <w:ind w:left="720" w:hanging="720"/>
        <w:rPr>
          <w:rFonts w:ascii="Arial" w:hAnsi="Arial" w:cs="Arial"/>
          <w:sz w:val="24"/>
          <w:szCs w:val="24"/>
          <w:lang w:eastAsia="en-GB"/>
        </w:rPr>
      </w:pPr>
      <w:r>
        <w:rPr>
          <w:rFonts w:ascii="Arial" w:hAnsi="Arial" w:cs="Arial"/>
          <w:sz w:val="24"/>
          <w:szCs w:val="24"/>
        </w:rPr>
        <w:t>9.</w:t>
      </w:r>
      <w:r>
        <w:rPr>
          <w:rFonts w:ascii="Arial" w:hAnsi="Arial" w:cs="Arial"/>
          <w:sz w:val="24"/>
          <w:szCs w:val="24"/>
        </w:rPr>
        <w:tab/>
      </w:r>
      <w:r w:rsidRPr="00A869C2">
        <w:rPr>
          <w:rFonts w:ascii="Arial" w:hAnsi="Arial" w:cs="Arial"/>
          <w:sz w:val="24"/>
          <w:szCs w:val="24"/>
          <w:lang w:eastAsia="en-GB"/>
        </w:rPr>
        <w:t xml:space="preserve">The consultation for the PDD directorate has now closed and the Director of Delivery </w:t>
      </w:r>
      <w:r w:rsidR="00431EE6">
        <w:rPr>
          <w:rFonts w:ascii="Arial" w:hAnsi="Arial" w:cs="Arial"/>
          <w:sz w:val="24"/>
          <w:szCs w:val="24"/>
          <w:lang w:eastAsia="en-GB"/>
        </w:rPr>
        <w:t xml:space="preserve">has advised that </w:t>
      </w:r>
      <w:r w:rsidRPr="00A869C2">
        <w:rPr>
          <w:rFonts w:ascii="Arial" w:hAnsi="Arial" w:cs="Arial"/>
          <w:sz w:val="24"/>
          <w:szCs w:val="24"/>
          <w:lang w:eastAsia="en-GB"/>
        </w:rPr>
        <w:t xml:space="preserve">around 80% of the directorate </w:t>
      </w:r>
      <w:r w:rsidR="00431EE6">
        <w:rPr>
          <w:rFonts w:ascii="Arial" w:hAnsi="Arial" w:cs="Arial"/>
          <w:sz w:val="24"/>
          <w:szCs w:val="24"/>
          <w:lang w:eastAsia="en-GB"/>
        </w:rPr>
        <w:t>have responded to the consultation</w:t>
      </w:r>
      <w:r w:rsidRPr="00A869C2">
        <w:rPr>
          <w:rFonts w:ascii="Arial" w:hAnsi="Arial" w:cs="Arial"/>
          <w:sz w:val="24"/>
          <w:szCs w:val="24"/>
          <w:lang w:eastAsia="en-GB"/>
        </w:rPr>
        <w:t>. He ha</w:t>
      </w:r>
      <w:r w:rsidR="00431EE6">
        <w:rPr>
          <w:rFonts w:ascii="Arial" w:hAnsi="Arial" w:cs="Arial"/>
          <w:sz w:val="24"/>
          <w:szCs w:val="24"/>
          <w:lang w:eastAsia="en-GB"/>
        </w:rPr>
        <w:t>s</w:t>
      </w:r>
      <w:r w:rsidRPr="00A869C2">
        <w:rPr>
          <w:rFonts w:ascii="Arial" w:hAnsi="Arial" w:cs="Arial"/>
          <w:sz w:val="24"/>
          <w:szCs w:val="24"/>
          <w:lang w:eastAsia="en-GB"/>
        </w:rPr>
        <w:t xml:space="preserve"> reported his analysis to the (partnership) change advisory group and will move to </w:t>
      </w:r>
      <w:r w:rsidR="00431EE6">
        <w:rPr>
          <w:rFonts w:ascii="Arial" w:hAnsi="Arial" w:cs="Arial"/>
          <w:sz w:val="24"/>
          <w:szCs w:val="24"/>
          <w:lang w:eastAsia="en-GB"/>
        </w:rPr>
        <w:t>implementation</w:t>
      </w:r>
      <w:r w:rsidRPr="00A869C2">
        <w:rPr>
          <w:rFonts w:ascii="Arial" w:hAnsi="Arial" w:cs="Arial"/>
          <w:sz w:val="24"/>
          <w:szCs w:val="24"/>
          <w:lang w:eastAsia="en-GB"/>
        </w:rPr>
        <w:t xml:space="preserve"> as soon as practicable. </w:t>
      </w:r>
      <w:r w:rsidR="00431EE6">
        <w:rPr>
          <w:rFonts w:ascii="Arial" w:hAnsi="Arial" w:cs="Arial"/>
          <w:sz w:val="24"/>
          <w:szCs w:val="24"/>
          <w:lang w:eastAsia="en-GB"/>
        </w:rPr>
        <w:t>A number of changes to the proposals have been made as a direct result of staff feedback.</w:t>
      </w:r>
    </w:p>
    <w:p w:rsidR="008658F4" w:rsidRDefault="008658F4" w:rsidP="00431EE6">
      <w:pPr>
        <w:rPr>
          <w:rFonts w:ascii="Arial" w:hAnsi="Arial" w:cs="Arial"/>
          <w:sz w:val="24"/>
          <w:szCs w:val="24"/>
        </w:rPr>
      </w:pPr>
      <w:r>
        <w:t xml:space="preserve">           </w:t>
      </w:r>
    </w:p>
    <w:p w:rsidR="000C5B64" w:rsidRDefault="000C5B64" w:rsidP="008658F4">
      <w:pPr>
        <w:jc w:val="both"/>
        <w:rPr>
          <w:rFonts w:ascii="Arial" w:hAnsi="Arial" w:cs="Arial"/>
          <w:b/>
          <w:sz w:val="24"/>
          <w:szCs w:val="24"/>
        </w:rPr>
      </w:pPr>
      <w:r>
        <w:rPr>
          <w:rFonts w:ascii="Arial" w:hAnsi="Arial" w:cs="Arial"/>
          <w:b/>
          <w:sz w:val="24"/>
          <w:szCs w:val="24"/>
        </w:rPr>
        <w:t>Meetings/Events Attended</w:t>
      </w:r>
    </w:p>
    <w:p w:rsidR="000C5B64" w:rsidRDefault="000C5B64" w:rsidP="008658F4">
      <w:pPr>
        <w:jc w:val="both"/>
        <w:rPr>
          <w:rFonts w:ascii="Arial" w:hAnsi="Arial" w:cs="Arial"/>
          <w:b/>
          <w:sz w:val="24"/>
          <w:szCs w:val="24"/>
        </w:rPr>
      </w:pPr>
    </w:p>
    <w:p w:rsidR="000C5B64" w:rsidRDefault="00431EE6" w:rsidP="000C5B64">
      <w:pPr>
        <w:ind w:left="720" w:hanging="720"/>
        <w:jc w:val="both"/>
        <w:rPr>
          <w:rFonts w:ascii="Arial" w:hAnsi="Arial" w:cs="Arial"/>
          <w:sz w:val="24"/>
          <w:szCs w:val="24"/>
        </w:rPr>
      </w:pPr>
      <w:r>
        <w:rPr>
          <w:rFonts w:ascii="Arial" w:hAnsi="Arial" w:cs="Arial"/>
          <w:sz w:val="24"/>
          <w:szCs w:val="24"/>
        </w:rPr>
        <w:t>10</w:t>
      </w:r>
      <w:r w:rsidR="000C5B64">
        <w:rPr>
          <w:rFonts w:ascii="Arial" w:hAnsi="Arial" w:cs="Arial"/>
          <w:sz w:val="24"/>
          <w:szCs w:val="24"/>
        </w:rPr>
        <w:t>.</w:t>
      </w:r>
      <w:r w:rsidR="000C5B64">
        <w:rPr>
          <w:rFonts w:ascii="Arial" w:hAnsi="Arial" w:cs="Arial"/>
          <w:sz w:val="24"/>
          <w:szCs w:val="24"/>
        </w:rPr>
        <w:tab/>
        <w:t>During the period 27 March to 20 May I attended the following meetings/events.</w:t>
      </w:r>
    </w:p>
    <w:p w:rsidR="007E3CD2" w:rsidRPr="007E3CD2" w:rsidRDefault="007E3CD2" w:rsidP="007E3CD2">
      <w:pPr>
        <w:pStyle w:val="ListParagraph"/>
        <w:ind w:left="1080"/>
        <w:jc w:val="both"/>
        <w:rPr>
          <w:rFonts w:ascii="Arial" w:hAnsi="Arial" w:cs="Arial"/>
          <w:sz w:val="24"/>
          <w:szCs w:val="24"/>
        </w:rPr>
      </w:pPr>
    </w:p>
    <w:p w:rsidR="000C5B64" w:rsidRDefault="00081841" w:rsidP="000C5B64">
      <w:pPr>
        <w:pStyle w:val="ListParagraph"/>
        <w:numPr>
          <w:ilvl w:val="0"/>
          <w:numId w:val="3"/>
        </w:numPr>
        <w:jc w:val="both"/>
        <w:rPr>
          <w:rFonts w:ascii="Arial" w:hAnsi="Arial" w:cs="Arial"/>
          <w:sz w:val="24"/>
          <w:szCs w:val="24"/>
        </w:rPr>
      </w:pPr>
      <w:r>
        <w:rPr>
          <w:rFonts w:ascii="Arial" w:hAnsi="Arial" w:cs="Arial"/>
          <w:sz w:val="24"/>
          <w:szCs w:val="24"/>
          <w:u w:val="single"/>
        </w:rPr>
        <w:t xml:space="preserve">National </w:t>
      </w:r>
      <w:r w:rsidR="000C5B64">
        <w:rPr>
          <w:rFonts w:ascii="Arial" w:hAnsi="Arial" w:cs="Arial"/>
          <w:sz w:val="24"/>
          <w:szCs w:val="24"/>
          <w:u w:val="single"/>
        </w:rPr>
        <w:t>Strategic Scrutiny Group</w:t>
      </w:r>
    </w:p>
    <w:p w:rsidR="005E0833" w:rsidRDefault="000C5B64" w:rsidP="000C5B64">
      <w:pPr>
        <w:ind w:left="1080"/>
        <w:jc w:val="both"/>
        <w:rPr>
          <w:rFonts w:ascii="Arial" w:hAnsi="Arial" w:cs="Arial"/>
          <w:sz w:val="24"/>
          <w:szCs w:val="24"/>
        </w:rPr>
      </w:pPr>
      <w:r>
        <w:rPr>
          <w:rFonts w:ascii="Arial" w:hAnsi="Arial" w:cs="Arial"/>
          <w:sz w:val="24"/>
          <w:szCs w:val="24"/>
        </w:rPr>
        <w:t xml:space="preserve">I </w:t>
      </w:r>
      <w:r w:rsidR="00081841">
        <w:rPr>
          <w:rFonts w:ascii="Arial" w:hAnsi="Arial" w:cs="Arial"/>
          <w:sz w:val="24"/>
          <w:szCs w:val="24"/>
        </w:rPr>
        <w:t xml:space="preserve">accompanied fellow members of the Outcomes and Evidence Performance Board to </w:t>
      </w:r>
      <w:r>
        <w:rPr>
          <w:rFonts w:ascii="Arial" w:hAnsi="Arial" w:cs="Arial"/>
          <w:sz w:val="24"/>
          <w:szCs w:val="24"/>
        </w:rPr>
        <w:t>a meeting of the Strategic Scrutiny Group</w:t>
      </w:r>
      <w:r w:rsidR="005E0833">
        <w:rPr>
          <w:rFonts w:ascii="Arial" w:hAnsi="Arial" w:cs="Arial"/>
          <w:sz w:val="24"/>
          <w:szCs w:val="24"/>
        </w:rPr>
        <w:t>, organised by the Improvement Service</w:t>
      </w:r>
      <w:r>
        <w:rPr>
          <w:rFonts w:ascii="Arial" w:hAnsi="Arial" w:cs="Arial"/>
          <w:sz w:val="24"/>
          <w:szCs w:val="24"/>
        </w:rPr>
        <w:t xml:space="preserve"> on</w:t>
      </w:r>
      <w:r w:rsidR="005E0833">
        <w:rPr>
          <w:rFonts w:ascii="Arial" w:hAnsi="Arial" w:cs="Arial"/>
          <w:sz w:val="24"/>
          <w:szCs w:val="24"/>
        </w:rPr>
        <w:t>,</w:t>
      </w:r>
      <w:r>
        <w:rPr>
          <w:rFonts w:ascii="Arial" w:hAnsi="Arial" w:cs="Arial"/>
          <w:sz w:val="24"/>
          <w:szCs w:val="24"/>
        </w:rPr>
        <w:t xml:space="preserve"> the 23 April</w:t>
      </w:r>
      <w:r w:rsidR="005E0833">
        <w:rPr>
          <w:rFonts w:ascii="Arial" w:hAnsi="Arial" w:cs="Arial"/>
          <w:sz w:val="24"/>
          <w:szCs w:val="24"/>
        </w:rPr>
        <w:t>.  During the meeting</w:t>
      </w:r>
      <w:r>
        <w:rPr>
          <w:rFonts w:ascii="Arial" w:hAnsi="Arial" w:cs="Arial"/>
          <w:sz w:val="24"/>
          <w:szCs w:val="24"/>
        </w:rPr>
        <w:t xml:space="preserve"> </w:t>
      </w:r>
      <w:r w:rsidR="005E0833">
        <w:rPr>
          <w:rFonts w:ascii="Arial" w:hAnsi="Arial" w:cs="Arial"/>
          <w:sz w:val="24"/>
          <w:szCs w:val="24"/>
        </w:rPr>
        <w:t>discussion took place on</w:t>
      </w:r>
      <w:r>
        <w:rPr>
          <w:rFonts w:ascii="Arial" w:hAnsi="Arial" w:cs="Arial"/>
          <w:sz w:val="24"/>
          <w:szCs w:val="24"/>
        </w:rPr>
        <w:t xml:space="preserve"> </w:t>
      </w:r>
      <w:r w:rsidR="00081841">
        <w:rPr>
          <w:rFonts w:ascii="Arial" w:hAnsi="Arial" w:cs="Arial"/>
          <w:sz w:val="24"/>
          <w:szCs w:val="24"/>
        </w:rPr>
        <w:t xml:space="preserve">how the range of improvement and scrutiny bodies can best relate to Community Planning Partnerships. </w:t>
      </w:r>
    </w:p>
    <w:p w:rsidR="00081841" w:rsidRDefault="00081841" w:rsidP="000C5B64">
      <w:pPr>
        <w:ind w:left="1080"/>
        <w:jc w:val="both"/>
        <w:rPr>
          <w:rFonts w:ascii="Arial" w:hAnsi="Arial" w:cs="Arial"/>
          <w:sz w:val="24"/>
          <w:szCs w:val="24"/>
        </w:rPr>
      </w:pPr>
    </w:p>
    <w:p w:rsidR="005E0833" w:rsidRDefault="005E0833" w:rsidP="005E0833">
      <w:pPr>
        <w:pStyle w:val="ListParagraph"/>
        <w:numPr>
          <w:ilvl w:val="0"/>
          <w:numId w:val="3"/>
        </w:numPr>
        <w:jc w:val="both"/>
        <w:rPr>
          <w:rFonts w:ascii="Arial" w:hAnsi="Arial" w:cs="Arial"/>
          <w:sz w:val="24"/>
          <w:szCs w:val="24"/>
        </w:rPr>
      </w:pPr>
      <w:r>
        <w:rPr>
          <w:rFonts w:ascii="Arial" w:hAnsi="Arial" w:cs="Arial"/>
          <w:sz w:val="24"/>
          <w:szCs w:val="24"/>
          <w:u w:val="single"/>
        </w:rPr>
        <w:t>Dundee Fairness Commission</w:t>
      </w:r>
    </w:p>
    <w:p w:rsidR="005E0833" w:rsidRDefault="005E0833" w:rsidP="005E0833">
      <w:pPr>
        <w:ind w:left="1080"/>
        <w:jc w:val="both"/>
        <w:rPr>
          <w:rFonts w:ascii="Arial" w:hAnsi="Arial" w:cs="Arial"/>
          <w:sz w:val="24"/>
          <w:szCs w:val="24"/>
        </w:rPr>
      </w:pPr>
      <w:r>
        <w:rPr>
          <w:rFonts w:ascii="Arial" w:hAnsi="Arial" w:cs="Arial"/>
          <w:sz w:val="24"/>
          <w:szCs w:val="24"/>
        </w:rPr>
        <w:t xml:space="preserve">I attended the first meeting of the Dundee Fairness Commission on the 28 April.  The </w:t>
      </w:r>
      <w:r w:rsidR="007E3CD2">
        <w:rPr>
          <w:rFonts w:ascii="Arial" w:hAnsi="Arial" w:cs="Arial"/>
          <w:sz w:val="24"/>
          <w:szCs w:val="24"/>
        </w:rPr>
        <w:t xml:space="preserve">meeting discussed the remit, membership and roles of the Commission as well as the principles for the Commission.  </w:t>
      </w:r>
      <w:r w:rsidR="00850CB7">
        <w:rPr>
          <w:rFonts w:ascii="Arial" w:hAnsi="Arial" w:cs="Arial"/>
          <w:sz w:val="24"/>
          <w:szCs w:val="24"/>
        </w:rPr>
        <w:t xml:space="preserve">The commission received a presentation on the work of the </w:t>
      </w:r>
      <w:r w:rsidR="007E3CD2">
        <w:rPr>
          <w:rFonts w:ascii="Arial" w:hAnsi="Arial" w:cs="Arial"/>
          <w:sz w:val="24"/>
          <w:szCs w:val="24"/>
        </w:rPr>
        <w:t>Renfrewshire Tackling Poverty Commission.</w:t>
      </w:r>
    </w:p>
    <w:p w:rsidR="007E3CD2" w:rsidRDefault="007E3CD2" w:rsidP="005E0833">
      <w:pPr>
        <w:ind w:left="1080"/>
        <w:jc w:val="both"/>
        <w:rPr>
          <w:rFonts w:ascii="Arial" w:hAnsi="Arial" w:cs="Arial"/>
          <w:sz w:val="24"/>
          <w:szCs w:val="24"/>
        </w:rPr>
      </w:pPr>
    </w:p>
    <w:p w:rsidR="007E3CD2" w:rsidRDefault="007E3CD2" w:rsidP="007E3CD2">
      <w:pPr>
        <w:pStyle w:val="ListParagraph"/>
        <w:numPr>
          <w:ilvl w:val="0"/>
          <w:numId w:val="3"/>
        </w:numPr>
        <w:jc w:val="both"/>
        <w:rPr>
          <w:rFonts w:ascii="Arial" w:hAnsi="Arial" w:cs="Arial"/>
          <w:sz w:val="24"/>
          <w:szCs w:val="24"/>
        </w:rPr>
      </w:pPr>
      <w:r>
        <w:rPr>
          <w:rFonts w:ascii="Arial" w:hAnsi="Arial" w:cs="Arial"/>
          <w:sz w:val="24"/>
          <w:szCs w:val="24"/>
          <w:u w:val="single"/>
        </w:rPr>
        <w:t>Centre for Health Policy Showcase Event</w:t>
      </w:r>
    </w:p>
    <w:p w:rsidR="00701616" w:rsidRPr="00701616" w:rsidRDefault="00701616" w:rsidP="00701616">
      <w:pPr>
        <w:ind w:left="1080"/>
        <w:jc w:val="both"/>
        <w:rPr>
          <w:rFonts w:ascii="Arial" w:hAnsi="Arial" w:cs="Arial"/>
          <w:sz w:val="24"/>
          <w:szCs w:val="24"/>
        </w:rPr>
      </w:pPr>
      <w:r>
        <w:rPr>
          <w:rFonts w:ascii="Arial" w:hAnsi="Arial" w:cs="Arial"/>
          <w:sz w:val="24"/>
          <w:szCs w:val="24"/>
        </w:rPr>
        <w:t xml:space="preserve">This </w:t>
      </w:r>
      <w:r w:rsidR="004B38FA">
        <w:rPr>
          <w:rFonts w:ascii="Arial" w:hAnsi="Arial" w:cs="Arial"/>
          <w:sz w:val="24"/>
          <w:szCs w:val="24"/>
        </w:rPr>
        <w:t xml:space="preserve">event </w:t>
      </w:r>
      <w:r>
        <w:rPr>
          <w:rFonts w:ascii="Arial" w:hAnsi="Arial" w:cs="Arial"/>
          <w:sz w:val="24"/>
          <w:szCs w:val="24"/>
        </w:rPr>
        <w:t xml:space="preserve">at </w:t>
      </w:r>
      <w:r w:rsidR="004B38FA">
        <w:rPr>
          <w:rFonts w:ascii="Arial" w:hAnsi="Arial" w:cs="Arial"/>
          <w:sz w:val="24"/>
          <w:szCs w:val="24"/>
        </w:rPr>
        <w:t xml:space="preserve">Strathclyde </w:t>
      </w:r>
      <w:r>
        <w:rPr>
          <w:rFonts w:ascii="Arial" w:hAnsi="Arial" w:cs="Arial"/>
          <w:sz w:val="24"/>
          <w:szCs w:val="24"/>
        </w:rPr>
        <w:t xml:space="preserve">University on 8 May showcased the </w:t>
      </w:r>
      <w:r w:rsidRPr="00701616">
        <w:rPr>
          <w:rFonts w:ascii="Arial" w:hAnsi="Arial" w:cs="Arial"/>
          <w:sz w:val="24"/>
          <w:szCs w:val="24"/>
        </w:rPr>
        <w:t>Centre for Health Policy</w:t>
      </w:r>
      <w:r>
        <w:rPr>
          <w:rFonts w:ascii="Arial" w:hAnsi="Arial" w:cs="Arial"/>
          <w:sz w:val="24"/>
          <w:szCs w:val="24"/>
        </w:rPr>
        <w:t>’s</w:t>
      </w:r>
      <w:r w:rsidRPr="00701616">
        <w:rPr>
          <w:rFonts w:ascii="Arial" w:hAnsi="Arial" w:cs="Arial"/>
          <w:sz w:val="24"/>
          <w:szCs w:val="24"/>
        </w:rPr>
        <w:t xml:space="preserve"> contribution</w:t>
      </w:r>
      <w:r>
        <w:rPr>
          <w:rFonts w:ascii="Arial" w:hAnsi="Arial" w:cs="Arial"/>
          <w:sz w:val="24"/>
          <w:szCs w:val="24"/>
        </w:rPr>
        <w:t xml:space="preserve">, with a number of public and third sector partners, </w:t>
      </w:r>
      <w:r w:rsidRPr="00701616">
        <w:rPr>
          <w:rFonts w:ascii="Arial" w:hAnsi="Arial" w:cs="Arial"/>
          <w:sz w:val="24"/>
          <w:szCs w:val="24"/>
        </w:rPr>
        <w:t xml:space="preserve">to understanding and addressing local and global health </w:t>
      </w:r>
      <w:r w:rsidRPr="00701616">
        <w:rPr>
          <w:rFonts w:ascii="Arial" w:hAnsi="Arial" w:cs="Arial"/>
          <w:sz w:val="24"/>
          <w:szCs w:val="24"/>
        </w:rPr>
        <w:lastRenderedPageBreak/>
        <w:t xml:space="preserve">challenges. The keynote address </w:t>
      </w:r>
      <w:r>
        <w:rPr>
          <w:rFonts w:ascii="Arial" w:hAnsi="Arial" w:cs="Arial"/>
          <w:sz w:val="24"/>
          <w:szCs w:val="24"/>
        </w:rPr>
        <w:t>was</w:t>
      </w:r>
      <w:r w:rsidRPr="00701616">
        <w:rPr>
          <w:rFonts w:ascii="Arial" w:hAnsi="Arial" w:cs="Arial"/>
          <w:sz w:val="24"/>
          <w:szCs w:val="24"/>
        </w:rPr>
        <w:t xml:space="preserve"> given by Professor Sir Harry Burns who highlight</w:t>
      </w:r>
      <w:r>
        <w:rPr>
          <w:rFonts w:ascii="Arial" w:hAnsi="Arial" w:cs="Arial"/>
          <w:sz w:val="24"/>
          <w:szCs w:val="24"/>
        </w:rPr>
        <w:t>ed</w:t>
      </w:r>
      <w:r w:rsidRPr="00701616">
        <w:rPr>
          <w:rFonts w:ascii="Arial" w:hAnsi="Arial" w:cs="Arial"/>
          <w:sz w:val="24"/>
          <w:szCs w:val="24"/>
        </w:rPr>
        <w:t xml:space="preserve"> the key policy challenges the Centre is seeking to address. </w:t>
      </w:r>
    </w:p>
    <w:p w:rsidR="004B38FA" w:rsidRDefault="004B38FA" w:rsidP="004B38FA">
      <w:pPr>
        <w:ind w:left="1080"/>
        <w:jc w:val="both"/>
        <w:rPr>
          <w:rFonts w:ascii="Arial" w:hAnsi="Arial" w:cs="Arial"/>
          <w:sz w:val="24"/>
          <w:szCs w:val="24"/>
        </w:rPr>
      </w:pPr>
    </w:p>
    <w:p w:rsidR="004B38FA" w:rsidRDefault="004B38FA" w:rsidP="004B38FA">
      <w:pPr>
        <w:pStyle w:val="ListParagraph"/>
        <w:numPr>
          <w:ilvl w:val="0"/>
          <w:numId w:val="3"/>
        </w:numPr>
        <w:jc w:val="both"/>
        <w:rPr>
          <w:rFonts w:ascii="Arial" w:hAnsi="Arial" w:cs="Arial"/>
          <w:sz w:val="24"/>
          <w:szCs w:val="24"/>
        </w:rPr>
      </w:pPr>
      <w:r>
        <w:rPr>
          <w:rFonts w:ascii="Arial" w:hAnsi="Arial" w:cs="Arial"/>
          <w:sz w:val="24"/>
          <w:szCs w:val="24"/>
          <w:u w:val="single"/>
        </w:rPr>
        <w:t>Maternal &amp; Early Years Conference</w:t>
      </w:r>
    </w:p>
    <w:p w:rsidR="004B38FA" w:rsidRPr="00081841" w:rsidRDefault="00081841" w:rsidP="004B38FA">
      <w:pPr>
        <w:ind w:left="1080"/>
        <w:jc w:val="both"/>
        <w:rPr>
          <w:rFonts w:ascii="Arial" w:hAnsi="Arial" w:cs="Arial"/>
          <w:sz w:val="24"/>
          <w:szCs w:val="24"/>
        </w:rPr>
      </w:pPr>
      <w:r w:rsidRPr="00081841">
        <w:rPr>
          <w:rFonts w:ascii="Arial" w:hAnsi="Arial" w:cs="Arial"/>
          <w:sz w:val="24"/>
          <w:szCs w:val="24"/>
        </w:rPr>
        <w:t>I gave the opening address to the</w:t>
      </w:r>
      <w:r>
        <w:rPr>
          <w:rFonts w:ascii="Arial" w:hAnsi="Arial" w:cs="Arial"/>
          <w:sz w:val="24"/>
          <w:szCs w:val="24"/>
        </w:rPr>
        <w:t xml:space="preserve"> annual conference organised by Health Scotland in our facilitation role of the Maternal and Early years Network. The conference was chaired by the new Chief Medical Officer, Dr Catherine Calderwood and was attended by the Acting Minister for Children and Young People, Fiona McLeod MSP.</w:t>
      </w:r>
    </w:p>
    <w:p w:rsidR="000C5B64" w:rsidRDefault="000C5B64" w:rsidP="008658F4">
      <w:pPr>
        <w:jc w:val="both"/>
        <w:rPr>
          <w:rFonts w:ascii="Arial" w:hAnsi="Arial" w:cs="Arial"/>
          <w:b/>
          <w:sz w:val="24"/>
          <w:szCs w:val="24"/>
        </w:rPr>
      </w:pPr>
    </w:p>
    <w:p w:rsidR="008658F4" w:rsidRDefault="008658F4" w:rsidP="008658F4">
      <w:pPr>
        <w:jc w:val="both"/>
        <w:rPr>
          <w:rFonts w:ascii="Arial" w:hAnsi="Arial" w:cs="Arial"/>
          <w:b/>
          <w:sz w:val="24"/>
          <w:szCs w:val="24"/>
        </w:rPr>
      </w:pPr>
      <w:r>
        <w:rPr>
          <w:rFonts w:ascii="Arial" w:hAnsi="Arial" w:cs="Arial"/>
          <w:b/>
          <w:sz w:val="24"/>
          <w:szCs w:val="24"/>
        </w:rPr>
        <w:t>Complaints</w:t>
      </w:r>
    </w:p>
    <w:p w:rsidR="008658F4" w:rsidRDefault="008658F4" w:rsidP="008658F4">
      <w:pPr>
        <w:ind w:left="540" w:hanging="540"/>
        <w:jc w:val="both"/>
        <w:rPr>
          <w:rFonts w:ascii="Arial" w:hAnsi="Arial" w:cs="Arial"/>
          <w:sz w:val="24"/>
          <w:szCs w:val="24"/>
        </w:rPr>
      </w:pPr>
    </w:p>
    <w:p w:rsidR="009E478C" w:rsidRPr="009E478C" w:rsidRDefault="008658F4" w:rsidP="009E478C">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9E478C" w:rsidRPr="009E478C">
        <w:rPr>
          <w:rFonts w:ascii="Arial" w:hAnsi="Arial" w:cs="Arial"/>
          <w:sz w:val="24"/>
          <w:szCs w:val="24"/>
        </w:rPr>
        <w:t xml:space="preserve">From 18 March 2015 to 22 May 2015 </w:t>
      </w:r>
      <w:r w:rsidR="009E478C">
        <w:rPr>
          <w:rFonts w:ascii="Arial" w:hAnsi="Arial" w:cs="Arial"/>
          <w:sz w:val="24"/>
          <w:szCs w:val="24"/>
        </w:rPr>
        <w:t xml:space="preserve">Health Scotland received 20 complaints </w:t>
      </w:r>
      <w:r w:rsidR="009E478C" w:rsidRPr="009E478C">
        <w:rPr>
          <w:rFonts w:ascii="Arial" w:hAnsi="Arial" w:cs="Arial"/>
          <w:sz w:val="24"/>
          <w:szCs w:val="24"/>
        </w:rPr>
        <w:t>which were all intended for other health bodies.</w:t>
      </w:r>
      <w:r w:rsidR="009E478C">
        <w:rPr>
          <w:rFonts w:ascii="Arial" w:hAnsi="Arial" w:cs="Arial"/>
          <w:sz w:val="24"/>
          <w:szCs w:val="24"/>
        </w:rPr>
        <w:t xml:space="preserve">  T</w:t>
      </w:r>
      <w:r w:rsidR="009E478C" w:rsidRPr="009E478C">
        <w:rPr>
          <w:rFonts w:ascii="Arial" w:hAnsi="Arial" w:cs="Arial"/>
          <w:sz w:val="24"/>
          <w:szCs w:val="24"/>
        </w:rPr>
        <w:t>he complainants were all advised to contact the relevant NHS Board</w:t>
      </w:r>
      <w:r w:rsidR="009E478C">
        <w:rPr>
          <w:rFonts w:ascii="Arial" w:hAnsi="Arial" w:cs="Arial"/>
          <w:sz w:val="24"/>
          <w:szCs w:val="24"/>
        </w:rPr>
        <w:t>,</w:t>
      </w:r>
      <w:r w:rsidR="009E478C" w:rsidRPr="009E478C">
        <w:rPr>
          <w:rFonts w:ascii="Arial" w:hAnsi="Arial" w:cs="Arial"/>
          <w:sz w:val="24"/>
          <w:szCs w:val="24"/>
        </w:rPr>
        <w:t xml:space="preserve"> Practice Manager at their GP Surgery or passed directly to the appropriate NHS complaints team.</w:t>
      </w:r>
    </w:p>
    <w:p w:rsidR="008658F4" w:rsidRDefault="008658F4" w:rsidP="008658F4">
      <w:pPr>
        <w:ind w:left="630" w:hanging="720"/>
        <w:rPr>
          <w:rFonts w:ascii="Arial" w:hAnsi="Arial" w:cs="Arial"/>
          <w:sz w:val="24"/>
          <w:szCs w:val="24"/>
        </w:rPr>
      </w:pPr>
    </w:p>
    <w:p w:rsidR="008658F4" w:rsidRDefault="008658F4" w:rsidP="008658F4">
      <w:pPr>
        <w:ind w:left="720" w:hanging="720"/>
        <w:rPr>
          <w:rFonts w:ascii="Arial" w:hAnsi="Arial" w:cs="Arial"/>
          <w:b/>
          <w:sz w:val="24"/>
          <w:szCs w:val="24"/>
        </w:rPr>
      </w:pPr>
      <w:r>
        <w:rPr>
          <w:rFonts w:ascii="Arial" w:hAnsi="Arial" w:cs="Arial"/>
          <w:b/>
          <w:sz w:val="24"/>
          <w:szCs w:val="24"/>
        </w:rPr>
        <w:t>Finance and Resource Implications</w:t>
      </w:r>
    </w:p>
    <w:p w:rsidR="008658F4" w:rsidRDefault="008658F4" w:rsidP="008658F4">
      <w:pPr>
        <w:ind w:left="720" w:hanging="720"/>
        <w:rPr>
          <w:rFonts w:ascii="Arial" w:hAnsi="Arial" w:cs="Arial"/>
          <w:sz w:val="24"/>
          <w:szCs w:val="24"/>
        </w:rPr>
      </w:pPr>
    </w:p>
    <w:p w:rsidR="008658F4" w:rsidRDefault="008658F4" w:rsidP="008658F4">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There are no finance and resource implications as such arising from this paper.</w:t>
      </w:r>
    </w:p>
    <w:p w:rsidR="008658F4" w:rsidRDefault="008658F4" w:rsidP="008658F4">
      <w:pPr>
        <w:ind w:left="540" w:hanging="540"/>
        <w:rPr>
          <w:rFonts w:ascii="Arial" w:hAnsi="Arial" w:cs="Arial"/>
          <w:b/>
          <w:sz w:val="24"/>
          <w:szCs w:val="24"/>
        </w:rPr>
      </w:pPr>
    </w:p>
    <w:p w:rsidR="008658F4" w:rsidRDefault="008658F4" w:rsidP="008658F4">
      <w:pPr>
        <w:ind w:left="540" w:hanging="540"/>
        <w:rPr>
          <w:rFonts w:ascii="Arial" w:hAnsi="Arial" w:cs="Arial"/>
          <w:sz w:val="24"/>
          <w:szCs w:val="24"/>
        </w:rPr>
      </w:pPr>
      <w:r>
        <w:rPr>
          <w:rFonts w:ascii="Arial" w:hAnsi="Arial" w:cs="Arial"/>
          <w:b/>
          <w:sz w:val="24"/>
          <w:szCs w:val="24"/>
        </w:rPr>
        <w:t xml:space="preserve">Communications </w:t>
      </w:r>
    </w:p>
    <w:p w:rsidR="008658F4" w:rsidRDefault="008658F4" w:rsidP="008658F4">
      <w:pPr>
        <w:ind w:left="540" w:hanging="540"/>
        <w:rPr>
          <w:rFonts w:ascii="Arial" w:hAnsi="Arial" w:cs="Arial"/>
          <w:sz w:val="24"/>
          <w:szCs w:val="24"/>
        </w:rPr>
      </w:pPr>
    </w:p>
    <w:p w:rsidR="008658F4" w:rsidRDefault="008658F4" w:rsidP="008658F4">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 xml:space="preserve">There are no specific communications issues arising from this paper which are not addressed through other relevant plans. </w:t>
      </w:r>
    </w:p>
    <w:p w:rsidR="008658F4" w:rsidRDefault="008658F4" w:rsidP="008658F4">
      <w:pPr>
        <w:ind w:left="540" w:hanging="540"/>
        <w:jc w:val="both"/>
        <w:rPr>
          <w:rFonts w:ascii="Arial" w:hAnsi="Arial" w:cs="Arial"/>
          <w:b/>
          <w:sz w:val="24"/>
          <w:szCs w:val="24"/>
        </w:rPr>
      </w:pPr>
    </w:p>
    <w:p w:rsidR="008658F4" w:rsidRDefault="008658F4" w:rsidP="008658F4">
      <w:pPr>
        <w:ind w:left="540" w:hanging="540"/>
        <w:jc w:val="both"/>
        <w:rPr>
          <w:rFonts w:ascii="Arial" w:hAnsi="Arial" w:cs="Arial"/>
          <w:sz w:val="24"/>
          <w:szCs w:val="24"/>
        </w:rPr>
      </w:pPr>
      <w:r>
        <w:rPr>
          <w:rFonts w:ascii="Arial" w:hAnsi="Arial" w:cs="Arial"/>
          <w:b/>
          <w:sz w:val="24"/>
          <w:szCs w:val="24"/>
        </w:rPr>
        <w:t xml:space="preserve">Risk </w:t>
      </w:r>
    </w:p>
    <w:p w:rsidR="008658F4" w:rsidRDefault="008658F4" w:rsidP="008658F4">
      <w:pPr>
        <w:ind w:left="540" w:hanging="540"/>
        <w:jc w:val="both"/>
        <w:rPr>
          <w:rFonts w:ascii="Arial" w:hAnsi="Arial" w:cs="Arial"/>
          <w:sz w:val="24"/>
          <w:szCs w:val="24"/>
        </w:rPr>
      </w:pPr>
    </w:p>
    <w:p w:rsidR="008658F4" w:rsidRDefault="008658F4" w:rsidP="008658F4">
      <w:pPr>
        <w:tabs>
          <w:tab w:val="left" w:pos="709"/>
        </w:tabs>
        <w:rPr>
          <w:rFonts w:ascii="Arial" w:hAnsi="Arial" w:cs="Arial"/>
          <w:sz w:val="24"/>
          <w:szCs w:val="24"/>
        </w:rPr>
      </w:pPr>
      <w:r>
        <w:rPr>
          <w:rFonts w:ascii="Arial" w:hAnsi="Arial" w:cs="Arial"/>
          <w:sz w:val="24"/>
          <w:szCs w:val="24"/>
        </w:rPr>
        <w:t>14.</w:t>
      </w:r>
      <w:r>
        <w:rPr>
          <w:rFonts w:ascii="Arial" w:hAnsi="Arial" w:cs="Arial"/>
          <w:sz w:val="24"/>
          <w:szCs w:val="24"/>
        </w:rPr>
        <w:tab/>
        <w:t xml:space="preserve">Any risks associated with this update are incorporated within related project  </w:t>
      </w:r>
      <w:r>
        <w:rPr>
          <w:rFonts w:ascii="Arial" w:hAnsi="Arial" w:cs="Arial"/>
          <w:sz w:val="24"/>
          <w:szCs w:val="24"/>
        </w:rPr>
        <w:tab/>
        <w:t>plans.</w:t>
      </w:r>
    </w:p>
    <w:p w:rsidR="008658F4" w:rsidRDefault="008658F4" w:rsidP="008658F4">
      <w:pPr>
        <w:pStyle w:val="ListParagraph"/>
        <w:jc w:val="both"/>
        <w:rPr>
          <w:rFonts w:ascii="Arial" w:hAnsi="Arial" w:cs="Arial"/>
          <w:sz w:val="24"/>
          <w:szCs w:val="24"/>
        </w:rPr>
      </w:pPr>
    </w:p>
    <w:p w:rsidR="008658F4" w:rsidRDefault="008658F4" w:rsidP="008658F4">
      <w:pPr>
        <w:ind w:left="540" w:hanging="540"/>
        <w:jc w:val="both"/>
        <w:rPr>
          <w:rFonts w:ascii="Arial" w:hAnsi="Arial" w:cs="Arial"/>
          <w:sz w:val="24"/>
          <w:szCs w:val="24"/>
        </w:rPr>
      </w:pPr>
      <w:r>
        <w:rPr>
          <w:rFonts w:ascii="Arial" w:hAnsi="Arial" w:cs="Arial"/>
          <w:b/>
          <w:sz w:val="24"/>
          <w:szCs w:val="24"/>
        </w:rPr>
        <w:t xml:space="preserve">Equality and Diversity </w:t>
      </w:r>
    </w:p>
    <w:p w:rsidR="008658F4" w:rsidRDefault="008658F4" w:rsidP="008658F4">
      <w:pPr>
        <w:ind w:left="540" w:hanging="540"/>
        <w:jc w:val="both"/>
        <w:rPr>
          <w:rFonts w:ascii="Arial" w:hAnsi="Arial" w:cs="Arial"/>
          <w:sz w:val="24"/>
          <w:szCs w:val="24"/>
        </w:rPr>
      </w:pPr>
    </w:p>
    <w:p w:rsidR="008658F4" w:rsidRDefault="008658F4" w:rsidP="008658F4">
      <w:pPr>
        <w:jc w:val="both"/>
        <w:rPr>
          <w:rFonts w:ascii="Arial" w:hAnsi="Arial" w:cs="Arial"/>
          <w:sz w:val="24"/>
          <w:szCs w:val="24"/>
        </w:rPr>
      </w:pPr>
      <w:r>
        <w:rPr>
          <w:rFonts w:ascii="Arial" w:hAnsi="Arial" w:cs="Arial"/>
          <w:sz w:val="24"/>
          <w:szCs w:val="24"/>
        </w:rPr>
        <w:t>15.</w:t>
      </w:r>
      <w:r>
        <w:rPr>
          <w:rFonts w:ascii="Arial" w:hAnsi="Arial" w:cs="Arial"/>
          <w:sz w:val="24"/>
          <w:szCs w:val="24"/>
        </w:rPr>
        <w:tab/>
        <w:t>There are no specific equality and diversity issues arising from this paper.</w:t>
      </w:r>
    </w:p>
    <w:p w:rsidR="008658F4" w:rsidRDefault="008658F4" w:rsidP="008658F4">
      <w:pPr>
        <w:ind w:left="540" w:hanging="540"/>
        <w:jc w:val="both"/>
        <w:rPr>
          <w:rFonts w:ascii="Arial" w:hAnsi="Arial" w:cs="Arial"/>
          <w:sz w:val="24"/>
          <w:szCs w:val="24"/>
        </w:rPr>
      </w:pPr>
    </w:p>
    <w:p w:rsidR="008658F4" w:rsidRDefault="008658F4" w:rsidP="008658F4">
      <w:pPr>
        <w:ind w:left="540" w:hanging="540"/>
        <w:jc w:val="both"/>
        <w:rPr>
          <w:rFonts w:ascii="Arial" w:hAnsi="Arial" w:cs="Arial"/>
          <w:sz w:val="24"/>
          <w:szCs w:val="24"/>
        </w:rPr>
      </w:pPr>
      <w:r>
        <w:rPr>
          <w:rFonts w:ascii="Arial" w:hAnsi="Arial" w:cs="Arial"/>
          <w:b/>
          <w:sz w:val="24"/>
          <w:szCs w:val="24"/>
        </w:rPr>
        <w:t xml:space="preserve">Environment </w:t>
      </w:r>
    </w:p>
    <w:p w:rsidR="008658F4" w:rsidRDefault="008658F4" w:rsidP="008658F4">
      <w:pPr>
        <w:ind w:left="540" w:hanging="540"/>
        <w:jc w:val="both"/>
        <w:rPr>
          <w:rFonts w:ascii="Arial" w:hAnsi="Arial" w:cs="Arial"/>
          <w:sz w:val="24"/>
          <w:szCs w:val="24"/>
        </w:rPr>
      </w:pPr>
    </w:p>
    <w:p w:rsidR="008658F4" w:rsidRDefault="008658F4" w:rsidP="008658F4">
      <w:pPr>
        <w:jc w:val="both"/>
        <w:rPr>
          <w:rFonts w:ascii="Arial" w:hAnsi="Arial" w:cs="Arial"/>
          <w:sz w:val="24"/>
          <w:szCs w:val="24"/>
        </w:rPr>
      </w:pPr>
      <w:r>
        <w:rPr>
          <w:rFonts w:ascii="Arial" w:hAnsi="Arial" w:cs="Arial"/>
          <w:sz w:val="24"/>
          <w:szCs w:val="24"/>
        </w:rPr>
        <w:t>16.</w:t>
      </w:r>
      <w:r>
        <w:rPr>
          <w:rFonts w:ascii="Arial" w:hAnsi="Arial" w:cs="Arial"/>
          <w:sz w:val="24"/>
          <w:szCs w:val="24"/>
        </w:rPr>
        <w:tab/>
        <w:t>There are no specific environmental issues arising from this paper.</w:t>
      </w:r>
    </w:p>
    <w:p w:rsidR="008658F4" w:rsidRDefault="008658F4" w:rsidP="008658F4">
      <w:pPr>
        <w:ind w:left="540" w:hanging="540"/>
        <w:jc w:val="both"/>
        <w:rPr>
          <w:rFonts w:ascii="Arial" w:hAnsi="Arial" w:cs="Arial"/>
          <w:sz w:val="24"/>
          <w:szCs w:val="24"/>
        </w:rPr>
      </w:pPr>
    </w:p>
    <w:p w:rsidR="008658F4" w:rsidRDefault="008658F4" w:rsidP="008658F4">
      <w:pPr>
        <w:ind w:left="540" w:hanging="540"/>
        <w:jc w:val="both"/>
        <w:rPr>
          <w:rFonts w:ascii="Arial" w:hAnsi="Arial" w:cs="Arial"/>
          <w:sz w:val="24"/>
          <w:szCs w:val="24"/>
        </w:rPr>
      </w:pPr>
      <w:r>
        <w:rPr>
          <w:rFonts w:ascii="Arial" w:hAnsi="Arial" w:cs="Arial"/>
          <w:b/>
          <w:sz w:val="24"/>
          <w:szCs w:val="24"/>
        </w:rPr>
        <w:t xml:space="preserve">Action/Recommendations </w:t>
      </w:r>
    </w:p>
    <w:p w:rsidR="008658F4" w:rsidRDefault="008658F4" w:rsidP="008658F4">
      <w:pPr>
        <w:ind w:left="540" w:hanging="540"/>
        <w:jc w:val="both"/>
        <w:rPr>
          <w:rFonts w:ascii="Arial" w:hAnsi="Arial" w:cs="Arial"/>
          <w:sz w:val="24"/>
          <w:szCs w:val="24"/>
        </w:rPr>
      </w:pPr>
    </w:p>
    <w:p w:rsidR="008658F4" w:rsidRDefault="008658F4" w:rsidP="008658F4">
      <w:pPr>
        <w:jc w:val="both"/>
        <w:rPr>
          <w:rFonts w:ascii="Arial" w:hAnsi="Arial" w:cs="Arial"/>
          <w:sz w:val="24"/>
          <w:szCs w:val="24"/>
        </w:rPr>
      </w:pPr>
      <w:r>
        <w:rPr>
          <w:rFonts w:ascii="Arial" w:hAnsi="Arial" w:cs="Arial"/>
          <w:sz w:val="24"/>
          <w:szCs w:val="24"/>
        </w:rPr>
        <w:t>17.</w:t>
      </w:r>
      <w:r>
        <w:rPr>
          <w:rFonts w:ascii="Arial" w:hAnsi="Arial" w:cs="Arial"/>
          <w:sz w:val="24"/>
          <w:szCs w:val="24"/>
        </w:rPr>
        <w:tab/>
        <w:t>The Board is asked to note this paper.</w:t>
      </w:r>
    </w:p>
    <w:p w:rsidR="008658F4" w:rsidRDefault="008658F4" w:rsidP="008658F4">
      <w:pPr>
        <w:ind w:left="540" w:hanging="540"/>
        <w:jc w:val="both"/>
        <w:rPr>
          <w:rFonts w:ascii="Arial" w:hAnsi="Arial" w:cs="Arial"/>
          <w:sz w:val="24"/>
          <w:szCs w:val="24"/>
        </w:rPr>
      </w:pPr>
    </w:p>
    <w:p w:rsidR="008658F4" w:rsidRDefault="008658F4" w:rsidP="008658F4">
      <w:pPr>
        <w:rPr>
          <w:rFonts w:ascii="Arial" w:hAnsi="Arial" w:cs="Arial"/>
          <w:b/>
          <w:sz w:val="24"/>
          <w:szCs w:val="24"/>
        </w:rPr>
      </w:pPr>
    </w:p>
    <w:p w:rsidR="008658F4" w:rsidRDefault="008658F4" w:rsidP="008658F4">
      <w:pPr>
        <w:rPr>
          <w:rFonts w:ascii="Arial" w:hAnsi="Arial" w:cs="Arial"/>
          <w:b/>
          <w:sz w:val="24"/>
          <w:szCs w:val="24"/>
        </w:rPr>
      </w:pPr>
      <w:r>
        <w:rPr>
          <w:rFonts w:ascii="Arial" w:hAnsi="Arial" w:cs="Arial"/>
          <w:b/>
          <w:sz w:val="24"/>
          <w:szCs w:val="24"/>
        </w:rPr>
        <w:t>Gerald McLaughlin</w:t>
      </w:r>
    </w:p>
    <w:p w:rsidR="008658F4" w:rsidRDefault="008658F4" w:rsidP="008658F4">
      <w:pPr>
        <w:rPr>
          <w:rFonts w:ascii="Arial" w:hAnsi="Arial" w:cs="Arial"/>
          <w:b/>
          <w:sz w:val="24"/>
          <w:szCs w:val="24"/>
        </w:rPr>
      </w:pPr>
      <w:r>
        <w:rPr>
          <w:rFonts w:ascii="Arial" w:hAnsi="Arial" w:cs="Arial"/>
          <w:b/>
          <w:sz w:val="24"/>
          <w:szCs w:val="24"/>
        </w:rPr>
        <w:t>Chief Executive</w:t>
      </w:r>
    </w:p>
    <w:p w:rsidR="008658F4" w:rsidRDefault="0039729E" w:rsidP="008658F4">
      <w:pPr>
        <w:rPr>
          <w:rFonts w:ascii="Arial" w:hAnsi="Arial" w:cs="Arial"/>
          <w:b/>
          <w:sz w:val="24"/>
          <w:szCs w:val="24"/>
        </w:rPr>
      </w:pPr>
      <w:r>
        <w:rPr>
          <w:rFonts w:ascii="Arial" w:hAnsi="Arial" w:cs="Arial"/>
          <w:b/>
          <w:sz w:val="24"/>
          <w:szCs w:val="24"/>
        </w:rPr>
        <w:t>20 May 2015</w:t>
      </w:r>
    </w:p>
    <w:p w:rsidR="008658F4" w:rsidRDefault="008658F4" w:rsidP="008658F4"/>
    <w:p w:rsidR="00503BAD" w:rsidRDefault="00503BAD"/>
    <w:sectPr w:rsidR="00503BAD" w:rsidSect="008A59ED">
      <w:pgSz w:w="11906" w:h="16838"/>
      <w:pgMar w:top="1440"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66959"/>
    <w:multiLevelType w:val="hybridMultilevel"/>
    <w:tmpl w:val="75D4CB8A"/>
    <w:lvl w:ilvl="0" w:tplc="266077AE">
      <w:start w:val="1"/>
      <w:numFmt w:val="decimal"/>
      <w:lvlText w:val="%1."/>
      <w:lvlJc w:val="left"/>
      <w:pPr>
        <w:tabs>
          <w:tab w:val="num" w:pos="720"/>
        </w:tabs>
        <w:ind w:left="72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69F06CA3"/>
    <w:multiLevelType w:val="hybridMultilevel"/>
    <w:tmpl w:val="1DD60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F4"/>
    <w:rsid w:val="00081841"/>
    <w:rsid w:val="000C5B64"/>
    <w:rsid w:val="00320BCE"/>
    <w:rsid w:val="0039729E"/>
    <w:rsid w:val="003B0C1F"/>
    <w:rsid w:val="00431EE6"/>
    <w:rsid w:val="004B38FA"/>
    <w:rsid w:val="00503BAD"/>
    <w:rsid w:val="00574E4B"/>
    <w:rsid w:val="005E0833"/>
    <w:rsid w:val="00701616"/>
    <w:rsid w:val="007E3CD2"/>
    <w:rsid w:val="00850CB7"/>
    <w:rsid w:val="008658F4"/>
    <w:rsid w:val="008A59ED"/>
    <w:rsid w:val="009E478C"/>
    <w:rsid w:val="009E6B89"/>
    <w:rsid w:val="00A869C2"/>
    <w:rsid w:val="00C57451"/>
    <w:rsid w:val="00C9041E"/>
    <w:rsid w:val="00D514D7"/>
    <w:rsid w:val="00E13218"/>
    <w:rsid w:val="00FC5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F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8658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658F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658F4"/>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8658F4"/>
    <w:rPr>
      <w:rFonts w:ascii="Arial" w:eastAsia="Times New Roman" w:hAnsi="Arial" w:cs="Arial"/>
      <w:b/>
      <w:bCs/>
      <w:sz w:val="26"/>
      <w:szCs w:val="26"/>
    </w:rPr>
  </w:style>
  <w:style w:type="character" w:styleId="Hyperlink">
    <w:name w:val="Hyperlink"/>
    <w:basedOn w:val="DefaultParagraphFont"/>
    <w:uiPriority w:val="99"/>
    <w:semiHidden/>
    <w:unhideWhenUsed/>
    <w:rsid w:val="008658F4"/>
    <w:rPr>
      <w:color w:val="0000FF" w:themeColor="hyperlink"/>
      <w:u w:val="single"/>
    </w:rPr>
  </w:style>
  <w:style w:type="paragraph" w:styleId="ListParagraph">
    <w:name w:val="List Paragraph"/>
    <w:basedOn w:val="Normal"/>
    <w:uiPriority w:val="34"/>
    <w:qFormat/>
    <w:rsid w:val="008658F4"/>
    <w:pPr>
      <w:ind w:left="720"/>
      <w:contextualSpacing/>
    </w:pPr>
  </w:style>
  <w:style w:type="character" w:customStyle="1" w:styleId="normalv2Char">
    <w:name w:val="normal v2 Char"/>
    <w:basedOn w:val="DefaultParagraphFont"/>
    <w:link w:val="normalv2"/>
    <w:locked/>
    <w:rsid w:val="008658F4"/>
    <w:rPr>
      <w:rFonts w:ascii="Arial" w:hAnsi="Arial" w:cs="Arial"/>
    </w:rPr>
  </w:style>
  <w:style w:type="paragraph" w:customStyle="1" w:styleId="normalv2">
    <w:name w:val="normal v2"/>
    <w:basedOn w:val="Normal"/>
    <w:link w:val="normalv2Char"/>
    <w:rsid w:val="008658F4"/>
    <w:pPr>
      <w:ind w:left="709"/>
    </w:pPr>
    <w:rPr>
      <w:rFonts w:ascii="Arial" w:eastAsiaTheme="minorHAnsi" w:hAnsi="Arial" w:cs="Arial"/>
      <w:sz w:val="22"/>
      <w:szCs w:val="22"/>
    </w:rPr>
  </w:style>
  <w:style w:type="table" w:styleId="TableGrid">
    <w:name w:val="Table Grid"/>
    <w:basedOn w:val="TableNormal"/>
    <w:rsid w:val="008658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8F4"/>
    <w:rPr>
      <w:rFonts w:ascii="Tahoma" w:hAnsi="Tahoma" w:cs="Tahoma"/>
      <w:sz w:val="16"/>
      <w:szCs w:val="16"/>
    </w:rPr>
  </w:style>
  <w:style w:type="character" w:customStyle="1" w:styleId="BalloonTextChar">
    <w:name w:val="Balloon Text Char"/>
    <w:basedOn w:val="DefaultParagraphFont"/>
    <w:link w:val="BalloonText"/>
    <w:uiPriority w:val="99"/>
    <w:semiHidden/>
    <w:rsid w:val="008658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F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8658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658F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658F4"/>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8658F4"/>
    <w:rPr>
      <w:rFonts w:ascii="Arial" w:eastAsia="Times New Roman" w:hAnsi="Arial" w:cs="Arial"/>
      <w:b/>
      <w:bCs/>
      <w:sz w:val="26"/>
      <w:szCs w:val="26"/>
    </w:rPr>
  </w:style>
  <w:style w:type="character" w:styleId="Hyperlink">
    <w:name w:val="Hyperlink"/>
    <w:basedOn w:val="DefaultParagraphFont"/>
    <w:uiPriority w:val="99"/>
    <w:semiHidden/>
    <w:unhideWhenUsed/>
    <w:rsid w:val="008658F4"/>
    <w:rPr>
      <w:color w:val="0000FF" w:themeColor="hyperlink"/>
      <w:u w:val="single"/>
    </w:rPr>
  </w:style>
  <w:style w:type="paragraph" w:styleId="ListParagraph">
    <w:name w:val="List Paragraph"/>
    <w:basedOn w:val="Normal"/>
    <w:uiPriority w:val="34"/>
    <w:qFormat/>
    <w:rsid w:val="008658F4"/>
    <w:pPr>
      <w:ind w:left="720"/>
      <w:contextualSpacing/>
    </w:pPr>
  </w:style>
  <w:style w:type="character" w:customStyle="1" w:styleId="normalv2Char">
    <w:name w:val="normal v2 Char"/>
    <w:basedOn w:val="DefaultParagraphFont"/>
    <w:link w:val="normalv2"/>
    <w:locked/>
    <w:rsid w:val="008658F4"/>
    <w:rPr>
      <w:rFonts w:ascii="Arial" w:hAnsi="Arial" w:cs="Arial"/>
    </w:rPr>
  </w:style>
  <w:style w:type="paragraph" w:customStyle="1" w:styleId="normalv2">
    <w:name w:val="normal v2"/>
    <w:basedOn w:val="Normal"/>
    <w:link w:val="normalv2Char"/>
    <w:rsid w:val="008658F4"/>
    <w:pPr>
      <w:ind w:left="709"/>
    </w:pPr>
    <w:rPr>
      <w:rFonts w:ascii="Arial" w:eastAsiaTheme="minorHAnsi" w:hAnsi="Arial" w:cs="Arial"/>
      <w:sz w:val="22"/>
      <w:szCs w:val="22"/>
    </w:rPr>
  </w:style>
  <w:style w:type="table" w:styleId="TableGrid">
    <w:name w:val="Table Grid"/>
    <w:basedOn w:val="TableNormal"/>
    <w:rsid w:val="008658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8F4"/>
    <w:rPr>
      <w:rFonts w:ascii="Tahoma" w:hAnsi="Tahoma" w:cs="Tahoma"/>
      <w:sz w:val="16"/>
      <w:szCs w:val="16"/>
    </w:rPr>
  </w:style>
  <w:style w:type="character" w:customStyle="1" w:styleId="BalloonTextChar">
    <w:name w:val="Balloon Text Char"/>
    <w:basedOn w:val="DefaultParagraphFont"/>
    <w:link w:val="BalloonText"/>
    <w:uiPriority w:val="99"/>
    <w:semiHidden/>
    <w:rsid w:val="008658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3893">
      <w:bodyDiv w:val="1"/>
      <w:marLeft w:val="0"/>
      <w:marRight w:val="0"/>
      <w:marTop w:val="0"/>
      <w:marBottom w:val="0"/>
      <w:divBdr>
        <w:top w:val="none" w:sz="0" w:space="0" w:color="auto"/>
        <w:left w:val="none" w:sz="0" w:space="0" w:color="auto"/>
        <w:bottom w:val="none" w:sz="0" w:space="0" w:color="auto"/>
        <w:right w:val="none" w:sz="0" w:space="0" w:color="auto"/>
      </w:divBdr>
    </w:div>
    <w:div w:id="646206396">
      <w:bodyDiv w:val="1"/>
      <w:marLeft w:val="0"/>
      <w:marRight w:val="0"/>
      <w:marTop w:val="0"/>
      <w:marBottom w:val="0"/>
      <w:divBdr>
        <w:top w:val="none" w:sz="0" w:space="0" w:color="auto"/>
        <w:left w:val="none" w:sz="0" w:space="0" w:color="auto"/>
        <w:bottom w:val="none" w:sz="0" w:space="0" w:color="auto"/>
        <w:right w:val="none" w:sz="0" w:space="0" w:color="auto"/>
      </w:divBdr>
    </w:div>
    <w:div w:id="811018414">
      <w:bodyDiv w:val="1"/>
      <w:marLeft w:val="0"/>
      <w:marRight w:val="0"/>
      <w:marTop w:val="0"/>
      <w:marBottom w:val="0"/>
      <w:divBdr>
        <w:top w:val="none" w:sz="0" w:space="0" w:color="auto"/>
        <w:left w:val="none" w:sz="0" w:space="0" w:color="auto"/>
        <w:bottom w:val="none" w:sz="0" w:space="0" w:color="auto"/>
        <w:right w:val="none" w:sz="0" w:space="0" w:color="auto"/>
      </w:divBdr>
    </w:div>
    <w:div w:id="1345937315">
      <w:bodyDiv w:val="1"/>
      <w:marLeft w:val="0"/>
      <w:marRight w:val="0"/>
      <w:marTop w:val="0"/>
      <w:marBottom w:val="0"/>
      <w:divBdr>
        <w:top w:val="none" w:sz="0" w:space="0" w:color="auto"/>
        <w:left w:val="none" w:sz="0" w:space="0" w:color="auto"/>
        <w:bottom w:val="none" w:sz="0" w:space="0" w:color="auto"/>
        <w:right w:val="none" w:sz="0" w:space="0" w:color="auto"/>
      </w:divBdr>
    </w:div>
    <w:div w:id="14912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Riordan</dc:creator>
  <cp:lastModifiedBy>Mary Riordan</cp:lastModifiedBy>
  <cp:revision>6</cp:revision>
  <dcterms:created xsi:type="dcterms:W3CDTF">2015-05-22T10:31:00Z</dcterms:created>
  <dcterms:modified xsi:type="dcterms:W3CDTF">2015-06-01T08:05:00Z</dcterms:modified>
</cp:coreProperties>
</file>